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imes New Roman"/>
          <w:color w:val="auto"/>
          <w:sz w:val="22"/>
          <w:szCs w:val="22"/>
        </w:rPr>
        <w:id w:val="1546026982"/>
        <w:docPartObj>
          <w:docPartGallery w:val="Table of Contents"/>
          <w:docPartUnique/>
        </w:docPartObj>
      </w:sdtPr>
      <w:sdtEndPr/>
      <w:sdtContent>
        <w:p w14:paraId="01AFC4AB" w14:textId="2579ADD9" w:rsidR="00040E18" w:rsidRDefault="00040E18" w:rsidP="003C1AC7">
          <w:pPr>
            <w:pStyle w:val="TOCHeading"/>
            <w:rPr>
              <w:rFonts w:asciiTheme="minorHAnsi" w:eastAsiaTheme="minorEastAsia" w:hAnsiTheme="minorHAnsi" w:cs="Times New Roman"/>
              <w:color w:val="auto"/>
              <w:sz w:val="22"/>
              <w:szCs w:val="22"/>
            </w:rPr>
          </w:pPr>
          <w:r w:rsidRPr="0051545A">
            <w:rPr>
              <w:sz w:val="28"/>
              <w:szCs w:val="28"/>
            </w:rPr>
            <w:t xml:space="preserve">EU REACH Substance </w:t>
          </w:r>
          <w:r w:rsidR="00A215E5">
            <w:rPr>
              <w:sz w:val="28"/>
              <w:szCs w:val="28"/>
            </w:rPr>
            <w:t>C</w:t>
          </w:r>
          <w:r w:rsidRPr="0051545A">
            <w:rPr>
              <w:sz w:val="28"/>
              <w:szCs w:val="28"/>
            </w:rPr>
            <w:t>ommunication – Invasive Cardiology</w:t>
          </w:r>
        </w:p>
        <w:p w14:paraId="7975A892" w14:textId="7772A050" w:rsidR="003C1AC7" w:rsidRPr="0051545A" w:rsidRDefault="003C1AC7" w:rsidP="003C1AC7">
          <w:pPr>
            <w:pStyle w:val="TOCHeading"/>
            <w:rPr>
              <w:sz w:val="28"/>
              <w:szCs w:val="28"/>
            </w:rPr>
          </w:pPr>
          <w:r w:rsidRPr="0051545A">
            <w:rPr>
              <w:sz w:val="28"/>
              <w:szCs w:val="28"/>
            </w:rPr>
            <w:t xml:space="preserve">Table of Contents: </w:t>
          </w:r>
        </w:p>
        <w:p w14:paraId="31D0D6BC" w14:textId="77777777" w:rsidR="003C1AC7" w:rsidRDefault="003C1AC7" w:rsidP="003C1AC7">
          <w:pPr>
            <w:pStyle w:val="TOC1"/>
          </w:pPr>
          <w:r>
            <w:rPr>
              <w:b/>
              <w:bCs/>
            </w:rPr>
            <w:t>English</w:t>
          </w:r>
          <w:r>
            <w:ptab w:relativeTo="margin" w:alignment="right" w:leader="dot"/>
          </w:r>
          <w:r>
            <w:t xml:space="preserve"> </w:t>
          </w:r>
          <w:r>
            <w:rPr>
              <w:b/>
              <w:bCs/>
            </w:rPr>
            <w:t>2</w:t>
          </w:r>
        </w:p>
        <w:p w14:paraId="33CAC124" w14:textId="23EBB7C3" w:rsidR="003C1AC7" w:rsidRDefault="003C1AC7" w:rsidP="003C1AC7">
          <w:pPr>
            <w:pStyle w:val="TOC1"/>
          </w:pPr>
          <w:r>
            <w:rPr>
              <w:b/>
              <w:bCs/>
            </w:rPr>
            <w:t>French</w:t>
          </w:r>
          <w:r>
            <w:ptab w:relativeTo="margin" w:alignment="right" w:leader="dot"/>
          </w:r>
          <w:r>
            <w:t xml:space="preserve"> </w:t>
          </w:r>
          <w:r w:rsidR="00FB0865">
            <w:rPr>
              <w:b/>
              <w:bCs/>
            </w:rPr>
            <w:t>4</w:t>
          </w:r>
        </w:p>
        <w:p w14:paraId="04604990" w14:textId="75D41CBB" w:rsidR="003C1AC7" w:rsidRDefault="003C1AC7" w:rsidP="003C1AC7">
          <w:pPr>
            <w:pStyle w:val="TOC1"/>
          </w:pPr>
          <w:r>
            <w:rPr>
              <w:b/>
              <w:bCs/>
            </w:rPr>
            <w:t>Bulgarian</w:t>
          </w:r>
          <w:r>
            <w:ptab w:relativeTo="margin" w:alignment="right" w:leader="dot"/>
          </w:r>
          <w:r>
            <w:t xml:space="preserve"> </w:t>
          </w:r>
          <w:r w:rsidR="00FB0865">
            <w:rPr>
              <w:b/>
              <w:bCs/>
            </w:rPr>
            <w:t>6</w:t>
          </w:r>
        </w:p>
        <w:p w14:paraId="7CF2D7B9" w14:textId="1132AD88" w:rsidR="003C1AC7" w:rsidRDefault="003C1AC7" w:rsidP="003C1AC7">
          <w:pPr>
            <w:pStyle w:val="TOC1"/>
          </w:pPr>
          <w:r>
            <w:rPr>
              <w:b/>
              <w:bCs/>
            </w:rPr>
            <w:t>Czech</w:t>
          </w:r>
          <w:r>
            <w:ptab w:relativeTo="margin" w:alignment="right" w:leader="dot"/>
          </w:r>
          <w:r>
            <w:t xml:space="preserve"> </w:t>
          </w:r>
          <w:r w:rsidR="00FB0865">
            <w:t>8</w:t>
          </w:r>
        </w:p>
        <w:p w14:paraId="0B4AE02D" w14:textId="6838C35F" w:rsidR="003C1AC7" w:rsidRDefault="003C1AC7" w:rsidP="003C1AC7">
          <w:pPr>
            <w:pStyle w:val="TOC1"/>
          </w:pPr>
          <w:r>
            <w:rPr>
              <w:b/>
              <w:bCs/>
            </w:rPr>
            <w:t>Spanish</w:t>
          </w:r>
          <w:r>
            <w:ptab w:relativeTo="margin" w:alignment="right" w:leader="dot"/>
          </w:r>
          <w:r>
            <w:t xml:space="preserve"> </w:t>
          </w:r>
          <w:r w:rsidR="00FB0865">
            <w:rPr>
              <w:b/>
              <w:bCs/>
            </w:rPr>
            <w:t>10</w:t>
          </w:r>
        </w:p>
        <w:p w14:paraId="5286DD83" w14:textId="04EC63BF" w:rsidR="003C1AC7" w:rsidRDefault="003C1AC7" w:rsidP="003C1AC7">
          <w:pPr>
            <w:pStyle w:val="TOC1"/>
          </w:pPr>
          <w:r>
            <w:rPr>
              <w:b/>
              <w:bCs/>
            </w:rPr>
            <w:t>Danish</w:t>
          </w:r>
          <w:r>
            <w:ptab w:relativeTo="margin" w:alignment="right" w:leader="dot"/>
          </w:r>
          <w:r>
            <w:t xml:space="preserve"> </w:t>
          </w:r>
          <w:r w:rsidR="00FB0865">
            <w:rPr>
              <w:b/>
              <w:bCs/>
            </w:rPr>
            <w:t>12</w:t>
          </w:r>
        </w:p>
        <w:p w14:paraId="1AECC927" w14:textId="35803382" w:rsidR="003C1AC7" w:rsidRDefault="003C1AC7" w:rsidP="003C1AC7">
          <w:pPr>
            <w:pStyle w:val="TOC1"/>
          </w:pPr>
          <w:r>
            <w:rPr>
              <w:b/>
              <w:bCs/>
            </w:rPr>
            <w:t>German</w:t>
          </w:r>
          <w:r>
            <w:ptab w:relativeTo="margin" w:alignment="right" w:leader="dot"/>
          </w:r>
          <w:r>
            <w:t xml:space="preserve"> </w:t>
          </w:r>
          <w:r w:rsidR="00FB0865">
            <w:rPr>
              <w:b/>
              <w:bCs/>
            </w:rPr>
            <w:t>14</w:t>
          </w:r>
        </w:p>
        <w:p w14:paraId="08ED997D" w14:textId="417DE0EF" w:rsidR="003C1AC7" w:rsidRDefault="003C1AC7" w:rsidP="003C1AC7">
          <w:pPr>
            <w:pStyle w:val="TOC1"/>
          </w:pPr>
          <w:r>
            <w:rPr>
              <w:b/>
              <w:bCs/>
            </w:rPr>
            <w:t>Estonian</w:t>
          </w:r>
          <w:r>
            <w:ptab w:relativeTo="margin" w:alignment="right" w:leader="dot"/>
          </w:r>
          <w:r>
            <w:t xml:space="preserve"> </w:t>
          </w:r>
          <w:r w:rsidR="00FB0865">
            <w:rPr>
              <w:b/>
              <w:bCs/>
            </w:rPr>
            <w:t>16</w:t>
          </w:r>
        </w:p>
        <w:p w14:paraId="1E260C5B" w14:textId="7968B7FE" w:rsidR="003C1AC7" w:rsidRDefault="003C1AC7" w:rsidP="003C1AC7">
          <w:pPr>
            <w:pStyle w:val="TOC1"/>
          </w:pPr>
          <w:r>
            <w:rPr>
              <w:b/>
              <w:bCs/>
            </w:rPr>
            <w:t>Greek</w:t>
          </w:r>
          <w:r>
            <w:ptab w:relativeTo="margin" w:alignment="right" w:leader="dot"/>
          </w:r>
          <w:r>
            <w:t xml:space="preserve"> </w:t>
          </w:r>
          <w:r>
            <w:rPr>
              <w:b/>
              <w:bCs/>
            </w:rPr>
            <w:t>1</w:t>
          </w:r>
          <w:r w:rsidR="00FB0865">
            <w:rPr>
              <w:b/>
              <w:bCs/>
            </w:rPr>
            <w:t>8</w:t>
          </w:r>
        </w:p>
        <w:p w14:paraId="34B4BE86" w14:textId="6437EC5D" w:rsidR="003C1AC7" w:rsidRDefault="003C1AC7" w:rsidP="003C1AC7">
          <w:pPr>
            <w:pStyle w:val="TOC1"/>
          </w:pPr>
          <w:r>
            <w:rPr>
              <w:b/>
              <w:bCs/>
            </w:rPr>
            <w:t>Croatian</w:t>
          </w:r>
          <w:r>
            <w:ptab w:relativeTo="margin" w:alignment="right" w:leader="dot"/>
          </w:r>
          <w:r>
            <w:t xml:space="preserve"> </w:t>
          </w:r>
          <w:r w:rsidR="00FB0865">
            <w:rPr>
              <w:b/>
              <w:bCs/>
            </w:rPr>
            <w:t>20</w:t>
          </w:r>
        </w:p>
        <w:p w14:paraId="14FDEEC1" w14:textId="7F2CCB01" w:rsidR="003C1AC7" w:rsidRDefault="003C1AC7" w:rsidP="003C1AC7">
          <w:pPr>
            <w:pStyle w:val="TOC1"/>
            <w:rPr>
              <w:b/>
              <w:bCs/>
            </w:rPr>
          </w:pPr>
          <w:r>
            <w:rPr>
              <w:b/>
              <w:bCs/>
            </w:rPr>
            <w:t>Italian</w:t>
          </w:r>
          <w:r>
            <w:ptab w:relativeTo="margin" w:alignment="right" w:leader="dot"/>
          </w:r>
          <w:r>
            <w:t xml:space="preserve"> </w:t>
          </w:r>
          <w:r w:rsidR="00FB0865">
            <w:rPr>
              <w:b/>
              <w:bCs/>
            </w:rPr>
            <w:t>22</w:t>
          </w:r>
        </w:p>
        <w:p w14:paraId="6CBD0DF2" w14:textId="417875F1" w:rsidR="003C1AC7" w:rsidRDefault="003C1AC7" w:rsidP="003C1AC7">
          <w:pPr>
            <w:pStyle w:val="TOC1"/>
          </w:pPr>
          <w:r>
            <w:rPr>
              <w:b/>
              <w:bCs/>
            </w:rPr>
            <w:t>Latvian</w:t>
          </w:r>
          <w:r>
            <w:ptab w:relativeTo="margin" w:alignment="right" w:leader="dot"/>
          </w:r>
          <w:r>
            <w:t xml:space="preserve"> </w:t>
          </w:r>
          <w:r w:rsidR="00FB0865">
            <w:rPr>
              <w:b/>
              <w:bCs/>
            </w:rPr>
            <w:t>24</w:t>
          </w:r>
        </w:p>
        <w:p w14:paraId="2BCCE0B8" w14:textId="5F8A7CC2" w:rsidR="003C1AC7" w:rsidRDefault="003C1AC7" w:rsidP="003C1AC7">
          <w:pPr>
            <w:pStyle w:val="TOC1"/>
          </w:pPr>
          <w:r>
            <w:rPr>
              <w:b/>
              <w:bCs/>
            </w:rPr>
            <w:t>Lithuanian</w:t>
          </w:r>
          <w:r>
            <w:ptab w:relativeTo="margin" w:alignment="right" w:leader="dot"/>
          </w:r>
          <w:r>
            <w:t xml:space="preserve"> </w:t>
          </w:r>
          <w:r w:rsidR="00FB0865">
            <w:rPr>
              <w:b/>
              <w:bCs/>
            </w:rPr>
            <w:t>26</w:t>
          </w:r>
        </w:p>
        <w:p w14:paraId="6DD5CA95" w14:textId="7CC791DD" w:rsidR="003C1AC7" w:rsidRDefault="003C1AC7" w:rsidP="003C1AC7">
          <w:pPr>
            <w:pStyle w:val="TOC1"/>
            <w:rPr>
              <w:b/>
              <w:bCs/>
            </w:rPr>
          </w:pPr>
          <w:r>
            <w:rPr>
              <w:b/>
              <w:bCs/>
            </w:rPr>
            <w:t>Hungarian</w:t>
          </w:r>
          <w:r>
            <w:ptab w:relativeTo="margin" w:alignment="right" w:leader="dot"/>
          </w:r>
          <w:r>
            <w:t xml:space="preserve"> </w:t>
          </w:r>
          <w:r w:rsidR="00FB0865">
            <w:rPr>
              <w:b/>
              <w:bCs/>
            </w:rPr>
            <w:t>28</w:t>
          </w:r>
        </w:p>
        <w:p w14:paraId="3DC9AADE" w14:textId="37457109" w:rsidR="003C1AC7" w:rsidRDefault="003C1AC7" w:rsidP="003C1AC7">
          <w:pPr>
            <w:pStyle w:val="TOC1"/>
          </w:pPr>
          <w:r>
            <w:rPr>
              <w:b/>
              <w:bCs/>
            </w:rPr>
            <w:t>Maltese</w:t>
          </w:r>
          <w:r>
            <w:ptab w:relativeTo="margin" w:alignment="right" w:leader="dot"/>
          </w:r>
          <w:r>
            <w:t xml:space="preserve"> </w:t>
          </w:r>
          <w:r w:rsidR="00FB0865">
            <w:rPr>
              <w:b/>
              <w:bCs/>
            </w:rPr>
            <w:t>30</w:t>
          </w:r>
        </w:p>
        <w:p w14:paraId="7CACE07C" w14:textId="0131C134" w:rsidR="003C1AC7" w:rsidRDefault="003C1AC7" w:rsidP="003C1AC7">
          <w:pPr>
            <w:pStyle w:val="TOC1"/>
          </w:pPr>
          <w:r>
            <w:rPr>
              <w:b/>
              <w:bCs/>
            </w:rPr>
            <w:t>Dutch</w:t>
          </w:r>
          <w:r>
            <w:ptab w:relativeTo="margin" w:alignment="right" w:leader="dot"/>
          </w:r>
          <w:r>
            <w:t xml:space="preserve"> </w:t>
          </w:r>
          <w:r w:rsidR="00FB0865">
            <w:rPr>
              <w:b/>
              <w:bCs/>
            </w:rPr>
            <w:t>32</w:t>
          </w:r>
        </w:p>
        <w:p w14:paraId="0F2CED16" w14:textId="28F61DFE" w:rsidR="003C1AC7" w:rsidRDefault="003C1AC7" w:rsidP="003C1AC7">
          <w:pPr>
            <w:pStyle w:val="TOC1"/>
          </w:pPr>
          <w:r>
            <w:rPr>
              <w:b/>
              <w:bCs/>
            </w:rPr>
            <w:t>Polish</w:t>
          </w:r>
          <w:r>
            <w:ptab w:relativeTo="margin" w:alignment="right" w:leader="dot"/>
          </w:r>
          <w:r>
            <w:t xml:space="preserve"> </w:t>
          </w:r>
          <w:r w:rsidR="00FB0865">
            <w:rPr>
              <w:b/>
              <w:bCs/>
            </w:rPr>
            <w:t>34</w:t>
          </w:r>
        </w:p>
        <w:p w14:paraId="4990182B" w14:textId="09038774" w:rsidR="003C1AC7" w:rsidRDefault="003C1AC7" w:rsidP="003C1AC7">
          <w:pPr>
            <w:pStyle w:val="TOC1"/>
          </w:pPr>
          <w:r>
            <w:rPr>
              <w:b/>
              <w:bCs/>
            </w:rPr>
            <w:t>Portuguese</w:t>
          </w:r>
          <w:r>
            <w:ptab w:relativeTo="margin" w:alignment="right" w:leader="dot"/>
          </w:r>
          <w:r>
            <w:t xml:space="preserve"> </w:t>
          </w:r>
          <w:r w:rsidR="00FB0865">
            <w:rPr>
              <w:b/>
              <w:bCs/>
            </w:rPr>
            <w:t>36</w:t>
          </w:r>
        </w:p>
        <w:p w14:paraId="37FC05C9" w14:textId="564C404A" w:rsidR="003C1AC7" w:rsidRDefault="003C1AC7" w:rsidP="003C1AC7">
          <w:pPr>
            <w:pStyle w:val="TOC1"/>
          </w:pPr>
          <w:r>
            <w:rPr>
              <w:b/>
              <w:bCs/>
            </w:rPr>
            <w:t>Romanian</w:t>
          </w:r>
          <w:r>
            <w:ptab w:relativeTo="margin" w:alignment="right" w:leader="dot"/>
          </w:r>
          <w:r>
            <w:t xml:space="preserve"> </w:t>
          </w:r>
          <w:r w:rsidR="00FB0865">
            <w:rPr>
              <w:b/>
              <w:bCs/>
            </w:rPr>
            <w:t>38</w:t>
          </w:r>
        </w:p>
        <w:p w14:paraId="5A76B387" w14:textId="10946304" w:rsidR="003C1AC7" w:rsidRDefault="003C1AC7" w:rsidP="003C1AC7">
          <w:pPr>
            <w:pStyle w:val="TOC1"/>
          </w:pPr>
          <w:r>
            <w:rPr>
              <w:b/>
              <w:bCs/>
            </w:rPr>
            <w:t>Slovak</w:t>
          </w:r>
          <w:r>
            <w:ptab w:relativeTo="margin" w:alignment="right" w:leader="dot"/>
          </w:r>
          <w:r>
            <w:t xml:space="preserve"> </w:t>
          </w:r>
          <w:r w:rsidR="00FB0865">
            <w:rPr>
              <w:b/>
              <w:bCs/>
            </w:rPr>
            <w:t>40</w:t>
          </w:r>
        </w:p>
        <w:p w14:paraId="16D23523" w14:textId="55C66010" w:rsidR="003C1AC7" w:rsidRDefault="003C1AC7" w:rsidP="003C1AC7">
          <w:pPr>
            <w:pStyle w:val="TOC1"/>
          </w:pPr>
          <w:r>
            <w:rPr>
              <w:b/>
              <w:bCs/>
            </w:rPr>
            <w:t>Slovenian</w:t>
          </w:r>
          <w:r>
            <w:ptab w:relativeTo="margin" w:alignment="right" w:leader="dot"/>
          </w:r>
          <w:r>
            <w:t xml:space="preserve"> </w:t>
          </w:r>
          <w:r w:rsidR="00FB0865">
            <w:rPr>
              <w:b/>
              <w:bCs/>
            </w:rPr>
            <w:t>42</w:t>
          </w:r>
        </w:p>
        <w:p w14:paraId="194D3331" w14:textId="24DE2AF9" w:rsidR="003C1AC7" w:rsidRDefault="003C1AC7" w:rsidP="003C1AC7">
          <w:pPr>
            <w:pStyle w:val="TOC1"/>
          </w:pPr>
          <w:r>
            <w:rPr>
              <w:b/>
              <w:bCs/>
            </w:rPr>
            <w:t>Finnish</w:t>
          </w:r>
          <w:r>
            <w:ptab w:relativeTo="margin" w:alignment="right" w:leader="dot"/>
          </w:r>
          <w:r>
            <w:t xml:space="preserve"> </w:t>
          </w:r>
          <w:r w:rsidR="00FB0865">
            <w:rPr>
              <w:b/>
              <w:bCs/>
            </w:rPr>
            <w:t>44</w:t>
          </w:r>
        </w:p>
        <w:p w14:paraId="41B1B079" w14:textId="3AEA7DB2" w:rsidR="003C1AC7" w:rsidRDefault="003C1AC7" w:rsidP="003C1AC7">
          <w:pPr>
            <w:pStyle w:val="TOC1"/>
          </w:pPr>
          <w:r>
            <w:rPr>
              <w:b/>
              <w:bCs/>
            </w:rPr>
            <w:t>Swedish</w:t>
          </w:r>
          <w:r>
            <w:ptab w:relativeTo="margin" w:alignment="right" w:leader="dot"/>
          </w:r>
          <w:r>
            <w:t xml:space="preserve"> </w:t>
          </w:r>
          <w:r w:rsidR="00FB0865">
            <w:rPr>
              <w:b/>
              <w:bCs/>
            </w:rPr>
            <w:t>46</w:t>
          </w:r>
        </w:p>
        <w:p w14:paraId="58CBEB58" w14:textId="77777777" w:rsidR="003C1AC7" w:rsidRDefault="00F6429C" w:rsidP="003C1AC7">
          <w:pPr>
            <w:pStyle w:val="TOC3"/>
            <w:ind w:left="446"/>
            <w:rPr>
              <w:rFonts w:eastAsia="Times New Roman" w:hAnsi="Times New Roman"/>
            </w:rPr>
          </w:pPr>
        </w:p>
      </w:sdtContent>
    </w:sdt>
    <w:p w14:paraId="0269D82F" w14:textId="77777777" w:rsidR="003C1AC7" w:rsidRDefault="00ED30D9" w:rsidP="00ED30D9">
      <w:pPr>
        <w:pStyle w:val="Default"/>
        <w:tabs>
          <w:tab w:val="left" w:pos="6804"/>
        </w:tabs>
        <w:rPr>
          <w:rFonts w:asciiTheme="majorHAnsi" w:hAnsiTheme="majorHAnsi" w:cstheme="majorHAnsi"/>
          <w:b/>
          <w:bCs/>
          <w:color w:val="404040" w:themeColor="text1" w:themeTint="BF"/>
          <w:sz w:val="16"/>
          <w:szCs w:val="16"/>
        </w:rPr>
      </w:pPr>
      <w:r w:rsidRPr="00977090">
        <w:rPr>
          <w:rFonts w:asciiTheme="majorHAnsi" w:hAnsiTheme="majorHAnsi" w:cstheme="majorHAnsi"/>
          <w:b/>
          <w:bCs/>
          <w:color w:val="404040" w:themeColor="text1" w:themeTint="BF"/>
          <w:sz w:val="16"/>
          <w:szCs w:val="16"/>
        </w:rPr>
        <w:tab/>
      </w:r>
    </w:p>
    <w:p w14:paraId="6B80681D" w14:textId="77777777" w:rsidR="003C1AC7" w:rsidRDefault="003C1AC7" w:rsidP="003C1AC7">
      <w:pPr>
        <w:pStyle w:val="Default"/>
        <w:tabs>
          <w:tab w:val="left" w:pos="6804"/>
        </w:tabs>
        <w:jc w:val="right"/>
        <w:rPr>
          <w:rFonts w:asciiTheme="majorHAnsi" w:hAnsiTheme="majorHAnsi" w:cstheme="majorHAnsi"/>
          <w:b/>
          <w:bCs/>
          <w:color w:val="404040" w:themeColor="text1" w:themeTint="BF"/>
          <w:sz w:val="16"/>
          <w:szCs w:val="16"/>
        </w:rPr>
      </w:pPr>
    </w:p>
    <w:p w14:paraId="4D73A330" w14:textId="77777777" w:rsidR="003C1AC7" w:rsidRDefault="003C1AC7" w:rsidP="003C1AC7">
      <w:pPr>
        <w:pStyle w:val="Default"/>
        <w:tabs>
          <w:tab w:val="left" w:pos="6804"/>
        </w:tabs>
        <w:jc w:val="right"/>
        <w:rPr>
          <w:rFonts w:asciiTheme="majorHAnsi" w:hAnsiTheme="majorHAnsi" w:cstheme="majorHAnsi"/>
          <w:b/>
          <w:bCs/>
          <w:color w:val="404040" w:themeColor="text1" w:themeTint="BF"/>
          <w:sz w:val="16"/>
          <w:szCs w:val="16"/>
        </w:rPr>
      </w:pPr>
    </w:p>
    <w:p w14:paraId="359F60ED" w14:textId="77777777" w:rsidR="003C1AC7" w:rsidRDefault="003C1AC7" w:rsidP="003C1AC7">
      <w:pPr>
        <w:pStyle w:val="Default"/>
        <w:tabs>
          <w:tab w:val="left" w:pos="6804"/>
        </w:tabs>
        <w:jc w:val="right"/>
        <w:rPr>
          <w:rFonts w:asciiTheme="majorHAnsi" w:hAnsiTheme="majorHAnsi" w:cstheme="majorHAnsi"/>
          <w:b/>
          <w:bCs/>
          <w:color w:val="404040" w:themeColor="text1" w:themeTint="BF"/>
          <w:sz w:val="16"/>
          <w:szCs w:val="16"/>
        </w:rPr>
      </w:pPr>
    </w:p>
    <w:p w14:paraId="0AA4B39E" w14:textId="77777777" w:rsidR="003C1AC7" w:rsidRDefault="003C1AC7" w:rsidP="003C1AC7">
      <w:pPr>
        <w:pStyle w:val="Default"/>
        <w:tabs>
          <w:tab w:val="left" w:pos="6804"/>
        </w:tabs>
        <w:jc w:val="right"/>
        <w:rPr>
          <w:rFonts w:asciiTheme="majorHAnsi" w:hAnsiTheme="majorHAnsi" w:cstheme="majorHAnsi"/>
          <w:b/>
          <w:bCs/>
          <w:color w:val="404040" w:themeColor="text1" w:themeTint="BF"/>
          <w:sz w:val="16"/>
          <w:szCs w:val="16"/>
        </w:rPr>
      </w:pPr>
    </w:p>
    <w:p w14:paraId="5E422C5D" w14:textId="77777777" w:rsidR="003C1AC7" w:rsidRDefault="003C1AC7" w:rsidP="003C1AC7">
      <w:pPr>
        <w:pStyle w:val="Default"/>
        <w:tabs>
          <w:tab w:val="left" w:pos="6804"/>
        </w:tabs>
        <w:jc w:val="right"/>
        <w:rPr>
          <w:rFonts w:asciiTheme="majorHAnsi" w:hAnsiTheme="majorHAnsi" w:cstheme="majorHAnsi"/>
          <w:b/>
          <w:bCs/>
          <w:color w:val="404040" w:themeColor="text1" w:themeTint="BF"/>
          <w:sz w:val="16"/>
          <w:szCs w:val="16"/>
        </w:rPr>
      </w:pPr>
    </w:p>
    <w:p w14:paraId="2190357C" w14:textId="77777777" w:rsidR="003C1AC7" w:rsidRDefault="003C1AC7" w:rsidP="003C1AC7">
      <w:pPr>
        <w:pStyle w:val="Default"/>
        <w:tabs>
          <w:tab w:val="left" w:pos="6804"/>
        </w:tabs>
        <w:jc w:val="right"/>
        <w:rPr>
          <w:rFonts w:asciiTheme="majorHAnsi" w:hAnsiTheme="majorHAnsi" w:cstheme="majorHAnsi"/>
          <w:b/>
          <w:bCs/>
          <w:color w:val="404040" w:themeColor="text1" w:themeTint="BF"/>
          <w:sz w:val="16"/>
          <w:szCs w:val="16"/>
        </w:rPr>
      </w:pPr>
    </w:p>
    <w:p w14:paraId="7871555D" w14:textId="77777777" w:rsidR="003C1AC7" w:rsidRDefault="003C1AC7" w:rsidP="003C1AC7">
      <w:pPr>
        <w:pStyle w:val="Default"/>
        <w:tabs>
          <w:tab w:val="left" w:pos="6804"/>
        </w:tabs>
        <w:jc w:val="right"/>
        <w:rPr>
          <w:rFonts w:asciiTheme="majorHAnsi" w:hAnsiTheme="majorHAnsi" w:cstheme="majorHAnsi"/>
          <w:b/>
          <w:bCs/>
          <w:color w:val="404040" w:themeColor="text1" w:themeTint="BF"/>
          <w:sz w:val="16"/>
          <w:szCs w:val="16"/>
        </w:rPr>
      </w:pPr>
    </w:p>
    <w:p w14:paraId="199FDDC4" w14:textId="77777777" w:rsidR="003C1AC7" w:rsidRDefault="003C1AC7" w:rsidP="003C1AC7">
      <w:pPr>
        <w:pStyle w:val="Default"/>
        <w:tabs>
          <w:tab w:val="left" w:pos="6804"/>
        </w:tabs>
        <w:jc w:val="right"/>
        <w:rPr>
          <w:rFonts w:asciiTheme="majorHAnsi" w:hAnsiTheme="majorHAnsi" w:cstheme="majorHAnsi"/>
          <w:b/>
          <w:bCs/>
          <w:color w:val="404040" w:themeColor="text1" w:themeTint="BF"/>
          <w:sz w:val="16"/>
          <w:szCs w:val="16"/>
        </w:rPr>
      </w:pPr>
    </w:p>
    <w:p w14:paraId="40FC860C" w14:textId="77777777" w:rsidR="003C1AC7" w:rsidRDefault="003C1AC7" w:rsidP="003C1AC7">
      <w:pPr>
        <w:pStyle w:val="Default"/>
        <w:tabs>
          <w:tab w:val="left" w:pos="6804"/>
        </w:tabs>
        <w:jc w:val="right"/>
        <w:rPr>
          <w:rFonts w:asciiTheme="majorHAnsi" w:hAnsiTheme="majorHAnsi" w:cstheme="majorHAnsi"/>
          <w:b/>
          <w:bCs/>
          <w:color w:val="404040" w:themeColor="text1" w:themeTint="BF"/>
          <w:sz w:val="16"/>
          <w:szCs w:val="16"/>
        </w:rPr>
      </w:pPr>
    </w:p>
    <w:p w14:paraId="08557BB3" w14:textId="110074B4" w:rsidR="003C1AC7" w:rsidRDefault="003C1AC7" w:rsidP="003C1AC7">
      <w:pPr>
        <w:pStyle w:val="Default"/>
        <w:tabs>
          <w:tab w:val="left" w:pos="6804"/>
        </w:tabs>
        <w:jc w:val="right"/>
        <w:rPr>
          <w:rFonts w:asciiTheme="majorHAnsi" w:hAnsiTheme="majorHAnsi" w:cstheme="majorHAnsi"/>
          <w:b/>
          <w:bCs/>
          <w:color w:val="404040" w:themeColor="text1" w:themeTint="BF"/>
          <w:sz w:val="16"/>
          <w:szCs w:val="16"/>
        </w:rPr>
      </w:pPr>
    </w:p>
    <w:p w14:paraId="5989E7A5" w14:textId="77777777" w:rsidR="006358D8" w:rsidRDefault="006358D8" w:rsidP="003C1AC7">
      <w:pPr>
        <w:pStyle w:val="Default"/>
        <w:tabs>
          <w:tab w:val="left" w:pos="6804"/>
        </w:tabs>
        <w:jc w:val="right"/>
        <w:rPr>
          <w:rFonts w:asciiTheme="majorHAnsi" w:hAnsiTheme="majorHAnsi" w:cstheme="majorHAnsi"/>
          <w:b/>
          <w:bCs/>
          <w:color w:val="404040" w:themeColor="text1" w:themeTint="BF"/>
          <w:sz w:val="16"/>
          <w:szCs w:val="16"/>
        </w:rPr>
      </w:pPr>
    </w:p>
    <w:p w14:paraId="41359414" w14:textId="77777777" w:rsidR="003C1AC7" w:rsidRDefault="003C1AC7" w:rsidP="003C1AC7">
      <w:pPr>
        <w:pStyle w:val="Default"/>
        <w:tabs>
          <w:tab w:val="left" w:pos="6804"/>
        </w:tabs>
        <w:jc w:val="right"/>
        <w:rPr>
          <w:rFonts w:asciiTheme="majorHAnsi" w:hAnsiTheme="majorHAnsi" w:cstheme="majorHAnsi"/>
          <w:b/>
          <w:bCs/>
          <w:color w:val="404040" w:themeColor="text1" w:themeTint="BF"/>
          <w:sz w:val="16"/>
          <w:szCs w:val="16"/>
        </w:rPr>
      </w:pPr>
    </w:p>
    <w:p w14:paraId="79B6AB73" w14:textId="77777777" w:rsidR="003C1AC7" w:rsidRDefault="003C1AC7" w:rsidP="003C1AC7">
      <w:pPr>
        <w:pStyle w:val="Default"/>
        <w:tabs>
          <w:tab w:val="left" w:pos="6804"/>
        </w:tabs>
        <w:jc w:val="right"/>
        <w:rPr>
          <w:rFonts w:asciiTheme="majorHAnsi" w:hAnsiTheme="majorHAnsi" w:cstheme="majorHAnsi"/>
          <w:b/>
          <w:bCs/>
          <w:color w:val="404040" w:themeColor="text1" w:themeTint="BF"/>
          <w:sz w:val="16"/>
          <w:szCs w:val="16"/>
        </w:rPr>
      </w:pPr>
    </w:p>
    <w:p w14:paraId="6B4396B1" w14:textId="646F8EE2" w:rsidR="00ED30D9" w:rsidRPr="00977090" w:rsidRDefault="003C1AC7" w:rsidP="003C1AC7">
      <w:pPr>
        <w:pStyle w:val="Default"/>
        <w:tabs>
          <w:tab w:val="left" w:pos="6804"/>
        </w:tabs>
        <w:jc w:val="center"/>
        <w:rPr>
          <w:rFonts w:asciiTheme="majorHAnsi" w:hAnsiTheme="majorHAnsi" w:cstheme="majorHAnsi"/>
          <w:color w:val="404040" w:themeColor="text1" w:themeTint="BF"/>
          <w:sz w:val="16"/>
          <w:szCs w:val="16"/>
        </w:rPr>
      </w:pPr>
      <w:r>
        <w:rPr>
          <w:rFonts w:asciiTheme="majorHAnsi" w:hAnsiTheme="majorHAnsi" w:cstheme="majorHAnsi"/>
          <w:b/>
          <w:bCs/>
          <w:color w:val="404040" w:themeColor="text1" w:themeTint="BF"/>
          <w:sz w:val="16"/>
          <w:szCs w:val="16"/>
        </w:rPr>
        <w:lastRenderedPageBreak/>
        <w:t xml:space="preserve">                                                                                                                                                      </w:t>
      </w:r>
      <w:r w:rsidR="00ED30D9" w:rsidRPr="00977090">
        <w:rPr>
          <w:rFonts w:asciiTheme="majorHAnsi" w:hAnsiTheme="majorHAnsi" w:cstheme="majorHAnsi"/>
          <w:b/>
          <w:bCs/>
          <w:color w:val="404040" w:themeColor="text1" w:themeTint="BF"/>
          <w:sz w:val="16"/>
          <w:szCs w:val="16"/>
        </w:rPr>
        <w:t xml:space="preserve">Surya </w:t>
      </w:r>
      <w:proofErr w:type="spellStart"/>
      <w:r w:rsidR="00ED30D9" w:rsidRPr="00977090">
        <w:rPr>
          <w:rFonts w:asciiTheme="majorHAnsi" w:hAnsiTheme="majorHAnsi" w:cstheme="majorHAnsi"/>
          <w:b/>
          <w:bCs/>
          <w:color w:val="404040" w:themeColor="text1" w:themeTint="BF"/>
          <w:sz w:val="16"/>
          <w:szCs w:val="16"/>
        </w:rPr>
        <w:t>Kunduri</w:t>
      </w:r>
      <w:proofErr w:type="spellEnd"/>
      <w:r w:rsidR="00ED30D9" w:rsidRPr="00977090">
        <w:rPr>
          <w:rFonts w:asciiTheme="majorHAnsi" w:hAnsiTheme="majorHAnsi" w:cstheme="majorHAnsi"/>
          <w:b/>
          <w:bCs/>
          <w:color w:val="404040" w:themeColor="text1" w:themeTint="BF"/>
          <w:sz w:val="16"/>
          <w:szCs w:val="16"/>
        </w:rPr>
        <w:t xml:space="preserve"> </w:t>
      </w:r>
    </w:p>
    <w:p w14:paraId="1AF9004F"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5D8DA1DA"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1D870928"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6076F8A7"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4F2E168D"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3624110A"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20AE831A"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61E84772"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2709D9C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3FF54AD7"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4044EAE1"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2EF38C3C"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5057B31C"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4F7F26CB"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5C00099E"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087DE45E" w14:textId="50DD349F"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5138A6A8" w14:textId="77777777" w:rsidR="008E3910" w:rsidRDefault="008E3910" w:rsidP="00ED30D9">
      <w:pPr>
        <w:pStyle w:val="Default"/>
        <w:tabs>
          <w:tab w:val="left" w:pos="6804"/>
        </w:tabs>
        <w:rPr>
          <w:rFonts w:asciiTheme="majorHAnsi" w:hAnsiTheme="majorHAnsi" w:cstheme="majorHAnsi"/>
          <w:color w:val="404040" w:themeColor="text1" w:themeTint="BF"/>
          <w:sz w:val="16"/>
          <w:szCs w:val="16"/>
        </w:rPr>
      </w:pPr>
    </w:p>
    <w:p w14:paraId="5D1C2A74" w14:textId="76BA6C95" w:rsidR="004006E3" w:rsidRPr="008E3910" w:rsidRDefault="004006E3" w:rsidP="008E3910">
      <w:pPr>
        <w:pStyle w:val="Default"/>
        <w:jc w:val="both"/>
        <w:rPr>
          <w:rFonts w:asciiTheme="majorHAnsi" w:hAnsiTheme="majorHAnsi" w:cstheme="majorHAnsi"/>
          <w:color w:val="auto"/>
          <w:sz w:val="22"/>
          <w:szCs w:val="22"/>
        </w:rPr>
      </w:pPr>
      <w:r w:rsidRPr="008E3910">
        <w:rPr>
          <w:rFonts w:asciiTheme="majorHAnsi" w:hAnsiTheme="majorHAnsi" w:cstheme="majorHAnsi"/>
          <w:color w:val="auto"/>
          <w:sz w:val="22"/>
          <w:szCs w:val="22"/>
        </w:rPr>
        <w:t>GE Healthcare works with its suppliers to ensure compliance of articles imported or manufactured within the European Union that are subject to the REACH regulation (EC- No 1907/2006), Article</w:t>
      </w:r>
      <w:r w:rsidR="008E3910">
        <w:rPr>
          <w:rFonts w:asciiTheme="majorHAnsi" w:hAnsiTheme="majorHAnsi" w:cstheme="majorHAnsi"/>
          <w:color w:val="auto"/>
          <w:sz w:val="22"/>
          <w:szCs w:val="22"/>
        </w:rPr>
        <w:t xml:space="preserve"> </w:t>
      </w:r>
      <w:r w:rsidRPr="008E3910">
        <w:rPr>
          <w:rFonts w:asciiTheme="majorHAnsi" w:hAnsiTheme="majorHAnsi" w:cstheme="majorHAnsi"/>
          <w:color w:val="auto"/>
          <w:sz w:val="22"/>
          <w:szCs w:val="22"/>
        </w:rPr>
        <w:t xml:space="preserve">33, and used in the production of GE Healthcare products. </w:t>
      </w:r>
    </w:p>
    <w:p w14:paraId="1C957956" w14:textId="77777777" w:rsidR="004006E3" w:rsidRPr="008E3910" w:rsidRDefault="004006E3" w:rsidP="008E3910">
      <w:pPr>
        <w:pStyle w:val="Default"/>
        <w:jc w:val="both"/>
        <w:rPr>
          <w:rFonts w:asciiTheme="majorHAnsi" w:hAnsiTheme="majorHAnsi" w:cstheme="majorHAnsi"/>
          <w:color w:val="auto"/>
          <w:sz w:val="22"/>
          <w:szCs w:val="22"/>
        </w:rPr>
      </w:pPr>
      <w:r w:rsidRPr="008E3910">
        <w:rPr>
          <w:rFonts w:asciiTheme="majorHAnsi" w:hAnsiTheme="majorHAnsi" w:cstheme="majorHAnsi"/>
          <w:color w:val="auto"/>
          <w:sz w:val="22"/>
          <w:szCs w:val="22"/>
        </w:rPr>
        <w:t xml:space="preserve">Regarding the application of Article 33 of the REACH regulation and the publication of the Candidate List of Substances of Very High Concern (SVHC) according to Article 59 of REACH regulation, GE Healthcare is aware of its legal obligations and will comply with them. </w:t>
      </w:r>
    </w:p>
    <w:p w14:paraId="2D5C9FE0" w14:textId="77777777" w:rsidR="004006E3" w:rsidRPr="008E3910" w:rsidRDefault="004006E3" w:rsidP="008E3910">
      <w:pPr>
        <w:pStyle w:val="Default"/>
        <w:jc w:val="both"/>
        <w:rPr>
          <w:rFonts w:asciiTheme="majorHAnsi" w:hAnsiTheme="majorHAnsi" w:cstheme="majorHAnsi"/>
          <w:color w:val="auto"/>
          <w:sz w:val="22"/>
          <w:szCs w:val="22"/>
        </w:rPr>
      </w:pPr>
      <w:r w:rsidRPr="008E3910">
        <w:rPr>
          <w:rFonts w:asciiTheme="majorHAnsi" w:hAnsiTheme="majorHAnsi" w:cstheme="majorHAnsi"/>
          <w:color w:val="auto"/>
          <w:sz w:val="22"/>
          <w:szCs w:val="22"/>
        </w:rPr>
        <w:t xml:space="preserve">GE Healthcare articles do not "intentionally release" substances under normal conditions of use. </w:t>
      </w:r>
    </w:p>
    <w:p w14:paraId="556E20BA" w14:textId="77777777" w:rsidR="004006E3" w:rsidRPr="008E3910" w:rsidRDefault="004006E3" w:rsidP="008E3910">
      <w:pPr>
        <w:jc w:val="both"/>
        <w:rPr>
          <w:rFonts w:asciiTheme="majorHAnsi" w:hAnsiTheme="majorHAnsi" w:cstheme="majorHAnsi"/>
        </w:rPr>
      </w:pPr>
      <w:r w:rsidRPr="008E3910">
        <w:rPr>
          <w:rFonts w:asciiTheme="majorHAnsi" w:hAnsiTheme="majorHAnsi" w:cstheme="majorHAnsi"/>
        </w:rPr>
        <w:t>Based on information from our suppliers to date, these substances are present in the following products at a concentration that may be greater than the threshold of 0.1% (w/w) at the article level:</w:t>
      </w:r>
    </w:p>
    <w:p w14:paraId="2B0824A2" w14:textId="77777777" w:rsidR="007927F8" w:rsidRPr="00977090" w:rsidRDefault="007927F8" w:rsidP="007927F8">
      <w:pPr>
        <w:pStyle w:val="Default"/>
        <w:rPr>
          <w:rFonts w:asciiTheme="majorHAnsi" w:hAnsiTheme="majorHAnsi" w:cstheme="majorHAnsi"/>
          <w:color w:val="auto"/>
          <w:sz w:val="22"/>
          <w:szCs w:val="2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5F0E6A" w:rsidRPr="005F0E6A" w14:paraId="310FB66F" w14:textId="77777777" w:rsidTr="0090282A">
        <w:trPr>
          <w:trHeight w:val="290"/>
        </w:trPr>
        <w:tc>
          <w:tcPr>
            <w:tcW w:w="1413" w:type="dxa"/>
            <w:noWrap/>
          </w:tcPr>
          <w:p w14:paraId="480A758C" w14:textId="77777777" w:rsidR="005F0E6A" w:rsidRPr="00B93A55" w:rsidRDefault="005F0E6A" w:rsidP="005A2C7D">
            <w:pPr>
              <w:spacing w:after="0" w:line="240" w:lineRule="auto"/>
              <w:rPr>
                <w:rFonts w:asciiTheme="majorHAnsi" w:hAnsiTheme="majorHAnsi" w:cstheme="majorHAnsi"/>
                <w:b/>
                <w:bCs/>
              </w:rPr>
            </w:pPr>
            <w:r w:rsidRPr="00B93A55">
              <w:rPr>
                <w:rFonts w:asciiTheme="majorHAnsi" w:hAnsiTheme="majorHAnsi" w:cstheme="majorHAnsi"/>
                <w:b/>
                <w:bCs/>
              </w:rPr>
              <w:t>Product Name</w:t>
            </w:r>
          </w:p>
        </w:tc>
        <w:tc>
          <w:tcPr>
            <w:tcW w:w="5953" w:type="dxa"/>
          </w:tcPr>
          <w:p w14:paraId="544C565F" w14:textId="77777777" w:rsidR="005F0E6A" w:rsidRPr="00B93A55" w:rsidRDefault="001C2FAB" w:rsidP="005A2C7D">
            <w:pPr>
              <w:spacing w:after="0" w:line="240" w:lineRule="auto"/>
              <w:rPr>
                <w:rFonts w:asciiTheme="majorHAnsi" w:hAnsiTheme="majorHAnsi" w:cstheme="majorHAnsi"/>
                <w:b/>
                <w:bCs/>
              </w:rPr>
            </w:pPr>
            <w:r w:rsidRPr="00B93A55">
              <w:rPr>
                <w:rFonts w:asciiTheme="majorHAnsi" w:hAnsiTheme="majorHAnsi" w:cstheme="majorHAnsi"/>
                <w:b/>
                <w:bCs/>
              </w:rPr>
              <w:t>Substance name</w:t>
            </w:r>
          </w:p>
        </w:tc>
        <w:tc>
          <w:tcPr>
            <w:tcW w:w="1696" w:type="dxa"/>
          </w:tcPr>
          <w:p w14:paraId="0F9A648A" w14:textId="77777777" w:rsidR="005F0E6A" w:rsidRPr="00B93A55" w:rsidRDefault="001C2FAB" w:rsidP="005A2C7D">
            <w:pPr>
              <w:spacing w:after="0" w:line="240" w:lineRule="auto"/>
              <w:rPr>
                <w:rFonts w:asciiTheme="majorHAnsi" w:hAnsiTheme="majorHAnsi" w:cstheme="majorHAnsi"/>
                <w:b/>
                <w:bCs/>
                <w:lang w:val="fr-FR"/>
              </w:rPr>
            </w:pPr>
            <w:r w:rsidRPr="00B93A55">
              <w:rPr>
                <w:rFonts w:asciiTheme="majorHAnsi" w:hAnsiTheme="majorHAnsi" w:cstheme="majorHAnsi"/>
                <w:b/>
                <w:bCs/>
                <w:lang w:val="fr-FR"/>
              </w:rPr>
              <w:t xml:space="preserve">CAS </w:t>
            </w:r>
            <w:proofErr w:type="spellStart"/>
            <w:r w:rsidRPr="00B93A55">
              <w:rPr>
                <w:rFonts w:asciiTheme="majorHAnsi" w:hAnsiTheme="majorHAnsi" w:cstheme="majorHAnsi"/>
                <w:b/>
                <w:bCs/>
                <w:lang w:val="fr-FR"/>
              </w:rPr>
              <w:t>Number</w:t>
            </w:r>
            <w:proofErr w:type="spellEnd"/>
          </w:p>
        </w:tc>
      </w:tr>
      <w:tr w:rsidR="0070054A" w:rsidRPr="00B93A55" w14:paraId="7E9DEBCD" w14:textId="77777777" w:rsidTr="003E41E7">
        <w:trPr>
          <w:trHeight w:val="290"/>
        </w:trPr>
        <w:tc>
          <w:tcPr>
            <w:tcW w:w="9062" w:type="dxa"/>
            <w:gridSpan w:val="3"/>
            <w:noWrap/>
          </w:tcPr>
          <w:p w14:paraId="63CE5BA0" w14:textId="77777777" w:rsidR="0070054A" w:rsidRPr="00B93A55" w:rsidRDefault="0070054A"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70054A" w14:paraId="4C786B35" w14:textId="77777777" w:rsidTr="003E41E7">
        <w:trPr>
          <w:trHeight w:val="290"/>
        </w:trPr>
        <w:tc>
          <w:tcPr>
            <w:tcW w:w="1413" w:type="dxa"/>
            <w:noWrap/>
            <w:hideMark/>
          </w:tcPr>
          <w:p w14:paraId="0B6C2025"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4E19EAE8"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3559A5A"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60F40E5"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2394EA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B8A7498" w14:textId="77777777" w:rsidR="0070054A" w:rsidRPr="007825CB" w:rsidRDefault="0070054A"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19A7B999"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287D5E8"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0260F6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F28DDE0"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DD4817D"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0E968217" w14:textId="77777777" w:rsidTr="003E41E7">
        <w:trPr>
          <w:trHeight w:val="1448"/>
        </w:trPr>
        <w:tc>
          <w:tcPr>
            <w:tcW w:w="1413" w:type="dxa"/>
            <w:noWrap/>
            <w:hideMark/>
          </w:tcPr>
          <w:p w14:paraId="42B59F14"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4CA49F67"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28403CA"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D924042"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EB8290C"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A0BA1FA" w14:textId="77777777" w:rsidR="0070054A" w:rsidRPr="007825CB" w:rsidRDefault="0070054A"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1B51CDF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C571D8D"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515732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2EE88B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3FF9225"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2E16A589" w14:textId="77777777" w:rsidTr="003E41E7">
        <w:trPr>
          <w:trHeight w:val="290"/>
        </w:trPr>
        <w:tc>
          <w:tcPr>
            <w:tcW w:w="1413" w:type="dxa"/>
            <w:noWrap/>
            <w:hideMark/>
          </w:tcPr>
          <w:p w14:paraId="3F096E5E"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67DBE6F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A384AE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C9E4A18"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F8D745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0B48CCA" w14:textId="77777777" w:rsidR="0070054A" w:rsidRPr="007825CB" w:rsidRDefault="0070054A"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1989E5CC"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A41705D"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B8094E7"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EDD11B9"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1FDBBB3"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rsidRPr="001F3911" w14:paraId="68C53012" w14:textId="77777777" w:rsidTr="003E41E7">
        <w:trPr>
          <w:trHeight w:val="290"/>
        </w:trPr>
        <w:tc>
          <w:tcPr>
            <w:tcW w:w="9062" w:type="dxa"/>
            <w:gridSpan w:val="3"/>
            <w:noWrap/>
          </w:tcPr>
          <w:p w14:paraId="35D934A3" w14:textId="77777777" w:rsidR="0070054A" w:rsidRPr="001F3911" w:rsidRDefault="0070054A"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70054A" w14:paraId="273B2B9E"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6FD22117"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6B4C678A"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D2D0075"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27774EC"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BCD7BA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50D30CC"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615E37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30C33E05"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D2F02BC"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F88B3A0"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A5FC5FC"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5ABDA14F"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2405026C"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v7 CARDIOLAB</w:t>
            </w:r>
          </w:p>
        </w:tc>
        <w:tc>
          <w:tcPr>
            <w:tcW w:w="5953" w:type="dxa"/>
            <w:tcBorders>
              <w:top w:val="single" w:sz="4" w:space="0" w:color="auto"/>
              <w:left w:val="single" w:sz="4" w:space="0" w:color="auto"/>
              <w:bottom w:val="single" w:sz="4" w:space="0" w:color="auto"/>
              <w:right w:val="single" w:sz="4" w:space="0" w:color="auto"/>
            </w:tcBorders>
          </w:tcPr>
          <w:p w14:paraId="6F3AC1A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C23E408"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7EFE1F2"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8BBCEFD"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800A417"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0BA3DA9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1303-86-2</w:t>
            </w:r>
          </w:p>
          <w:p w14:paraId="2805198A"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6B1785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1317-36-8</w:t>
            </w:r>
          </w:p>
          <w:p w14:paraId="41622D5F"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E735CD7"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2FF90D20"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7E2419F"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MAC-LAB</w:t>
            </w:r>
          </w:p>
        </w:tc>
        <w:tc>
          <w:tcPr>
            <w:tcW w:w="5953" w:type="dxa"/>
            <w:tcBorders>
              <w:top w:val="single" w:sz="4" w:space="0" w:color="auto"/>
              <w:left w:val="single" w:sz="4" w:space="0" w:color="auto"/>
              <w:bottom w:val="single" w:sz="4" w:space="0" w:color="auto"/>
              <w:right w:val="single" w:sz="4" w:space="0" w:color="auto"/>
            </w:tcBorders>
          </w:tcPr>
          <w:p w14:paraId="7DFC362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FB60AEC"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5CDE5B7"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6F25920"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A51EA9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3A1145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35955E7D"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E56ACF0"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E3550A0"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E62D101"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rsidRPr="001F3911" w14:paraId="1CB06577"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00793E8C" w14:textId="77777777" w:rsidR="0070054A" w:rsidRDefault="0070054A"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466143FF"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1C7A5DE3"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1D70A103"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04DDB7E0"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48E3C04D" w14:textId="77777777" w:rsidR="0070054A" w:rsidRPr="001F3911"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4551F17"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30969C62"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1CFA2C14"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4479B1E3"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0BAA3B44" w14:textId="77777777" w:rsidR="0070054A" w:rsidRPr="001F3911"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70054A" w14:paraId="1A1DBF51"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36313DD4"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70054A" w14:paraId="705A4084"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2413CFA"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1BCCFF4A" w14:textId="77777777" w:rsidR="0070054A" w:rsidRPr="001F3911" w:rsidRDefault="0070054A" w:rsidP="003E41E7">
            <w:pPr>
              <w:spacing w:after="0" w:line="240" w:lineRule="auto"/>
              <w:rPr>
                <w:rFonts w:ascii="Calibri Light" w:hAnsi="Calibri Light" w:cs="Calibri Light"/>
                <w:bCs/>
                <w:i/>
                <w:color w:val="000000"/>
                <w:sz w:val="20"/>
                <w:szCs w:val="20"/>
              </w:rPr>
            </w:pPr>
            <w:bookmarkStart w:id="0" w:name="OLE_LINK2"/>
            <w:r w:rsidRPr="001F3911">
              <w:rPr>
                <w:rFonts w:ascii="Calibri Light" w:hAnsi="Calibri Light" w:cs="Calibri Light"/>
                <w:bCs/>
                <w:i/>
                <w:color w:val="000000"/>
                <w:sz w:val="20"/>
                <w:szCs w:val="20"/>
              </w:rPr>
              <w:t>Boron oxide (B2O3)</w:t>
            </w:r>
          </w:p>
          <w:p w14:paraId="226A83C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B4DC46D"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1757BB7"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317E789"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371A3442"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bookmarkEnd w:id="0"/>
          </w:p>
        </w:tc>
        <w:tc>
          <w:tcPr>
            <w:tcW w:w="1696" w:type="dxa"/>
            <w:tcBorders>
              <w:top w:val="single" w:sz="4" w:space="0" w:color="auto"/>
              <w:left w:val="single" w:sz="4" w:space="0" w:color="auto"/>
              <w:bottom w:val="single" w:sz="4" w:space="0" w:color="auto"/>
              <w:right w:val="single" w:sz="4" w:space="0" w:color="auto"/>
            </w:tcBorders>
          </w:tcPr>
          <w:p w14:paraId="0353986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390970E5"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A3CC8C0"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8EE4A23"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89EF921"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05C84DB8"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78A2806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169FC64"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6A046CA8"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6C94B30"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356485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0219AD5"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43D8876"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77A901B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9B3A438"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BAFD0FB"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2F128D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8B7A8AE"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8CECB05"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004F2DF3"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5195FF2C"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D256B1B"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6F8AB1C3"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6D2869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58144EA"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B3D8F7D"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3B67704"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1A00AEAB"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739A44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95FD63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CA9CC15"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906FBC6"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BF5B2F8"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7BDFBE57"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11D56AFF" w14:textId="77777777" w:rsidR="00140A1F" w:rsidRDefault="00140A1F" w:rsidP="007927F8">
      <w:pPr>
        <w:rPr>
          <w:rFonts w:asciiTheme="majorHAnsi" w:hAnsiTheme="majorHAnsi" w:cstheme="majorHAnsi"/>
        </w:rPr>
      </w:pPr>
    </w:p>
    <w:p w14:paraId="43766572" w14:textId="77777777" w:rsidR="001D2DAA" w:rsidRDefault="001D2DAA">
      <w:pPr>
        <w:rPr>
          <w:rFonts w:asciiTheme="majorHAnsi" w:hAnsiTheme="majorHAnsi" w:cstheme="majorHAnsi"/>
        </w:rPr>
      </w:pPr>
      <w:r>
        <w:rPr>
          <w:rFonts w:asciiTheme="majorHAnsi" w:hAnsiTheme="majorHAnsi" w:cstheme="majorHAnsi"/>
        </w:rPr>
        <w:br w:type="page"/>
      </w:r>
    </w:p>
    <w:p w14:paraId="728C998E"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16EBE170"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72343B1C"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58CC8E91"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3A863202"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49394EB1"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368CBF95"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509E8474"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6C4C415C"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447463DA"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40277EBB"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4635B249"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15057902"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0DFFF714"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2FB67A55"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067FCDF9"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700D7AAF"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4D2C2B01" w14:textId="77777777" w:rsidR="001D2DAA" w:rsidRPr="00977090" w:rsidRDefault="001D2DAA" w:rsidP="001D2DAA">
      <w:pPr>
        <w:pStyle w:val="Default"/>
        <w:rPr>
          <w:rFonts w:asciiTheme="majorHAnsi" w:hAnsiTheme="majorHAnsi" w:cstheme="majorHAnsi"/>
          <w:color w:val="auto"/>
          <w:sz w:val="22"/>
          <w:szCs w:val="22"/>
        </w:rPr>
      </w:pPr>
    </w:p>
    <w:p w14:paraId="327AA593" w14:textId="77777777" w:rsidR="002303F3" w:rsidRPr="008E3910" w:rsidRDefault="002303F3" w:rsidP="008E3910">
      <w:pPr>
        <w:pStyle w:val="Default"/>
        <w:jc w:val="both"/>
        <w:rPr>
          <w:rFonts w:asciiTheme="majorHAnsi" w:hAnsiTheme="majorHAnsi" w:cstheme="majorHAnsi"/>
          <w:color w:val="auto"/>
          <w:sz w:val="22"/>
          <w:szCs w:val="22"/>
          <w:lang w:val="fr-FR"/>
        </w:rPr>
      </w:pPr>
      <w:r w:rsidRPr="008E3910">
        <w:rPr>
          <w:rFonts w:asciiTheme="majorHAnsi" w:hAnsiTheme="majorHAnsi" w:cstheme="majorHAnsi"/>
          <w:color w:val="auto"/>
          <w:sz w:val="22"/>
          <w:szCs w:val="22"/>
          <w:lang w:val="fr-FR"/>
        </w:rPr>
        <w:t>GE Healthcare travaille avec ses fournisseurs pour assurer la conformité des articles importés ou fabriqués dans l'Union européenne qui sont soumis au règlement REACH (CE-No 1907/2006), Article 33, et utilisés dans la production de ses produits.</w:t>
      </w:r>
    </w:p>
    <w:p w14:paraId="262EB492" w14:textId="77777777" w:rsidR="002303F3" w:rsidRPr="008E3910" w:rsidRDefault="002303F3" w:rsidP="008E3910">
      <w:pPr>
        <w:pStyle w:val="Default"/>
        <w:jc w:val="both"/>
        <w:rPr>
          <w:rFonts w:asciiTheme="majorHAnsi" w:hAnsiTheme="majorHAnsi" w:cstheme="majorHAnsi"/>
          <w:color w:val="auto"/>
          <w:sz w:val="22"/>
          <w:szCs w:val="22"/>
          <w:lang w:val="fr-FR"/>
        </w:rPr>
      </w:pPr>
      <w:r w:rsidRPr="008E3910">
        <w:rPr>
          <w:rFonts w:asciiTheme="majorHAnsi" w:hAnsiTheme="majorHAnsi" w:cstheme="majorHAnsi"/>
          <w:color w:val="auto"/>
          <w:sz w:val="22"/>
          <w:szCs w:val="22"/>
          <w:lang w:val="fr-FR"/>
        </w:rPr>
        <w:t>En ce qui concerne l'application de l'article 33 du règlement REACH et la publication de la liste des substances extrêmement préoccupantes (SVHC) conformément à l'article 59 du règlement REACH, GE Healthcare est consciente de ses obligations légales et s'y conformera.</w:t>
      </w:r>
    </w:p>
    <w:p w14:paraId="68D21968" w14:textId="5D4BB0AB" w:rsidR="002303F3" w:rsidRPr="008E3910" w:rsidRDefault="002303F3" w:rsidP="008E3910">
      <w:pPr>
        <w:pStyle w:val="Default"/>
        <w:jc w:val="both"/>
        <w:rPr>
          <w:rFonts w:asciiTheme="majorHAnsi" w:hAnsiTheme="majorHAnsi" w:cstheme="majorHAnsi"/>
          <w:color w:val="auto"/>
          <w:sz w:val="22"/>
          <w:szCs w:val="22"/>
          <w:lang w:val="fr-FR"/>
        </w:rPr>
      </w:pPr>
      <w:r w:rsidRPr="008E3910">
        <w:rPr>
          <w:rFonts w:asciiTheme="majorHAnsi" w:hAnsiTheme="majorHAnsi" w:cstheme="majorHAnsi"/>
          <w:color w:val="auto"/>
          <w:sz w:val="22"/>
          <w:szCs w:val="22"/>
          <w:lang w:val="fr-FR"/>
        </w:rPr>
        <w:t>Les articles GE Healthcare ne libèrent pas intentionnellement des substances dans des conditions normales d'utilisation.</w:t>
      </w:r>
    </w:p>
    <w:p w14:paraId="5F2598D9" w14:textId="4606DFDA" w:rsidR="002303F3" w:rsidRPr="008E3910" w:rsidRDefault="00DE06BF" w:rsidP="008E3910">
      <w:pPr>
        <w:pStyle w:val="Default"/>
        <w:jc w:val="both"/>
        <w:rPr>
          <w:rFonts w:asciiTheme="majorHAnsi" w:hAnsiTheme="majorHAnsi" w:cstheme="majorHAnsi"/>
          <w:color w:val="auto"/>
          <w:lang w:val="fr-FR"/>
        </w:rPr>
      </w:pPr>
      <w:r w:rsidRPr="008E3910">
        <w:rPr>
          <w:rFonts w:asciiTheme="majorHAnsi" w:hAnsiTheme="majorHAnsi" w:cstheme="majorHAnsi"/>
          <w:color w:val="auto"/>
          <w:sz w:val="22"/>
          <w:szCs w:val="22"/>
          <w:lang w:val="fr-FR"/>
        </w:rPr>
        <w:t>Selon les informations dont disposent nos fournisseurs à ce jour, ces substances sont présentes dans les produits suivants à une concentration qui pourrait être supérieure au seuil de 0,1% masse à masse au niveau de l’article :</w:t>
      </w:r>
    </w:p>
    <w:p w14:paraId="4065B684" w14:textId="77777777" w:rsidR="001D2DAA" w:rsidRPr="00DE06BF" w:rsidRDefault="001D2DAA" w:rsidP="001D2DAA">
      <w:pPr>
        <w:rPr>
          <w:rFonts w:asciiTheme="majorHAnsi" w:hAnsiTheme="majorHAnsi" w:cstheme="majorHAnsi"/>
          <w:color w:val="ED7D31" w:themeColor="accent2"/>
          <w:lang w:val="fr-FR"/>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5F6910F1" w14:textId="77777777" w:rsidTr="00636C30">
        <w:trPr>
          <w:trHeight w:val="290"/>
        </w:trPr>
        <w:tc>
          <w:tcPr>
            <w:tcW w:w="1413" w:type="dxa"/>
            <w:noWrap/>
          </w:tcPr>
          <w:p w14:paraId="1917BF32" w14:textId="77777777" w:rsidR="001D2DAA" w:rsidRPr="00526B99" w:rsidRDefault="002303F3" w:rsidP="005A2C7D">
            <w:pPr>
              <w:spacing w:after="0" w:line="240" w:lineRule="auto"/>
              <w:rPr>
                <w:rFonts w:asciiTheme="majorHAnsi" w:hAnsiTheme="majorHAnsi" w:cstheme="majorHAnsi"/>
                <w:b/>
                <w:bCs/>
              </w:rPr>
            </w:pPr>
            <w:r w:rsidRPr="00526B99">
              <w:rPr>
                <w:rFonts w:asciiTheme="majorHAnsi" w:hAnsiTheme="majorHAnsi" w:cstheme="majorHAnsi"/>
                <w:b/>
                <w:bCs/>
              </w:rPr>
              <w:t xml:space="preserve">Nom du </w:t>
            </w:r>
            <w:proofErr w:type="spellStart"/>
            <w:r w:rsidRPr="00526B99">
              <w:rPr>
                <w:rFonts w:asciiTheme="majorHAnsi" w:hAnsiTheme="majorHAnsi" w:cstheme="majorHAnsi"/>
                <w:b/>
                <w:bCs/>
              </w:rPr>
              <w:t>produit</w:t>
            </w:r>
            <w:proofErr w:type="spellEnd"/>
          </w:p>
        </w:tc>
        <w:tc>
          <w:tcPr>
            <w:tcW w:w="5953" w:type="dxa"/>
          </w:tcPr>
          <w:p w14:paraId="3F0EA174" w14:textId="77777777" w:rsidR="001D2DAA" w:rsidRPr="00526B99" w:rsidRDefault="002303F3" w:rsidP="005A2C7D">
            <w:pPr>
              <w:spacing w:after="0" w:line="240" w:lineRule="auto"/>
              <w:rPr>
                <w:rFonts w:asciiTheme="majorHAnsi" w:hAnsiTheme="majorHAnsi" w:cstheme="majorHAnsi"/>
                <w:b/>
                <w:bCs/>
              </w:rPr>
            </w:pPr>
            <w:r w:rsidRPr="00526B99">
              <w:rPr>
                <w:rFonts w:asciiTheme="majorHAnsi" w:hAnsiTheme="majorHAnsi" w:cstheme="majorHAnsi"/>
                <w:b/>
                <w:bCs/>
              </w:rPr>
              <w:t>Nom de la substance</w:t>
            </w:r>
          </w:p>
        </w:tc>
        <w:tc>
          <w:tcPr>
            <w:tcW w:w="1696" w:type="dxa"/>
          </w:tcPr>
          <w:p w14:paraId="2F54B323" w14:textId="77777777" w:rsidR="001D2DAA" w:rsidRPr="00526B99" w:rsidRDefault="002303F3" w:rsidP="005A2C7D">
            <w:pPr>
              <w:spacing w:after="0" w:line="240" w:lineRule="auto"/>
              <w:rPr>
                <w:rFonts w:asciiTheme="majorHAnsi" w:hAnsiTheme="majorHAnsi" w:cstheme="majorHAnsi"/>
                <w:b/>
                <w:bCs/>
                <w:lang w:val="fr-FR"/>
              </w:rPr>
            </w:pPr>
            <w:proofErr w:type="gramStart"/>
            <w:r w:rsidRPr="00526B99">
              <w:rPr>
                <w:rFonts w:asciiTheme="majorHAnsi" w:hAnsiTheme="majorHAnsi" w:cstheme="majorHAnsi"/>
                <w:b/>
                <w:bCs/>
                <w:lang w:val="fr-FR"/>
              </w:rPr>
              <w:t>n</w:t>
            </w:r>
            <w:proofErr w:type="gramEnd"/>
            <w:r w:rsidRPr="00526B99">
              <w:rPr>
                <w:rFonts w:asciiTheme="majorHAnsi" w:hAnsiTheme="majorHAnsi" w:cstheme="majorHAnsi"/>
                <w:b/>
                <w:bCs/>
                <w:lang w:val="fr-FR"/>
              </w:rPr>
              <w:t>° CAS</w:t>
            </w:r>
          </w:p>
        </w:tc>
      </w:tr>
      <w:tr w:rsidR="0070054A" w:rsidRPr="00B93A55" w14:paraId="05B94063" w14:textId="77777777" w:rsidTr="003E41E7">
        <w:trPr>
          <w:trHeight w:val="290"/>
        </w:trPr>
        <w:tc>
          <w:tcPr>
            <w:tcW w:w="9062" w:type="dxa"/>
            <w:gridSpan w:val="3"/>
            <w:noWrap/>
          </w:tcPr>
          <w:p w14:paraId="27FBE627" w14:textId="77777777" w:rsidR="0070054A" w:rsidRPr="00B93A55" w:rsidRDefault="0070054A"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70054A" w14:paraId="04858D90" w14:textId="77777777" w:rsidTr="003E41E7">
        <w:trPr>
          <w:trHeight w:val="290"/>
        </w:trPr>
        <w:tc>
          <w:tcPr>
            <w:tcW w:w="1413" w:type="dxa"/>
            <w:noWrap/>
            <w:hideMark/>
          </w:tcPr>
          <w:p w14:paraId="2EE7BDC1"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0B6759E7"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6F09CA8"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7B6932D"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238FD6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F5DA936" w14:textId="77777777" w:rsidR="0070054A" w:rsidRPr="007825CB" w:rsidRDefault="0070054A"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47316C2F"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E1032BF"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E77A3E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ED7989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005406E"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3975F436" w14:textId="77777777" w:rsidTr="003E41E7">
        <w:trPr>
          <w:trHeight w:val="1448"/>
        </w:trPr>
        <w:tc>
          <w:tcPr>
            <w:tcW w:w="1413" w:type="dxa"/>
            <w:noWrap/>
            <w:hideMark/>
          </w:tcPr>
          <w:p w14:paraId="12947960"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650103DB"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2FDDA4C"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FAC8B7A"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96F7027"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32E8825" w14:textId="77777777" w:rsidR="0070054A" w:rsidRPr="007825CB" w:rsidRDefault="0070054A"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5B29D692"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F1984DD"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10B0CB8"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FF3C130"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547402E"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5DE143BC" w14:textId="77777777" w:rsidTr="003E41E7">
        <w:trPr>
          <w:trHeight w:val="290"/>
        </w:trPr>
        <w:tc>
          <w:tcPr>
            <w:tcW w:w="1413" w:type="dxa"/>
            <w:noWrap/>
            <w:hideMark/>
          </w:tcPr>
          <w:p w14:paraId="7D268ABD"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4AA56DAB"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76D2072"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082A1C3"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E848257"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C892EE6" w14:textId="77777777" w:rsidR="0070054A" w:rsidRPr="007825CB" w:rsidRDefault="0070054A"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65D931F3"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85E35FB"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149BDF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508A5A2"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7C724F2"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rsidRPr="001F3911" w14:paraId="1362602C" w14:textId="77777777" w:rsidTr="003E41E7">
        <w:trPr>
          <w:trHeight w:val="290"/>
        </w:trPr>
        <w:tc>
          <w:tcPr>
            <w:tcW w:w="9062" w:type="dxa"/>
            <w:gridSpan w:val="3"/>
            <w:noWrap/>
          </w:tcPr>
          <w:p w14:paraId="25F06BC0" w14:textId="77777777" w:rsidR="0070054A" w:rsidRPr="001F3911" w:rsidRDefault="0070054A"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70054A" w14:paraId="59CE17CE"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0102D09"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479C7CD3"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96D7A3A"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7F6D929"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3F5EEC9"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CD65647"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5B8EA03"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1303-86-2</w:t>
            </w:r>
          </w:p>
          <w:p w14:paraId="61F6579E"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28C4322"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9F83710"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2650DC5"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2451-62-9</w:t>
            </w:r>
          </w:p>
        </w:tc>
      </w:tr>
      <w:tr w:rsidR="0070054A" w14:paraId="35D67088"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274207D"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4C0F2F68"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D9A740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96158A7"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692D61D"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A2CC90A"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329487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1CCFFA7"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078730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7E1805A"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105C7FF"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537E0CDB"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EA7E4A6"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09FBACF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7265E1D"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5F539BB"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BB48172"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6D6A2F7"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336D28C"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0937FF3B"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447410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C96145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49717F0"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rsidRPr="001F3911" w14:paraId="2AEFDEE4"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25C01004" w14:textId="77777777" w:rsidR="0070054A" w:rsidRDefault="0070054A"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543336DA"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4BCC3B63"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750F17E8"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5F152267"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48D5C4D3" w14:textId="77777777" w:rsidR="0070054A" w:rsidRPr="001F3911"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BECB2B6"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5290C4B6"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16D756BB"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5E270AE4"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1AD9A732" w14:textId="77777777" w:rsidR="0070054A" w:rsidRPr="001F3911"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70054A" w14:paraId="60AA465C"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4F468D5F"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70054A" w14:paraId="3E4B310B"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F5A10E2"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3D46A9A9"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AE78019"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E2A38C3"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4D09072"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04225C7"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44B01E42"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385911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61BBAEE"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0DF104F"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88163FD"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6E5D113"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6992C2E1"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656496D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65A53DC6"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0F3FB969"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AB8BAE0"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BE5F30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FA90A3D"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2FAB6EE"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37488A2D"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4E99F49"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190A38A"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4DEADE3"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DC1C59D"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DC7044F"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76FD103B"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2FC3381F"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EFC06EE"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05A2BB38"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EF5164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B639D52"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797273C"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CC8F778"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74CAAC27"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1E3B5439"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51AD28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10AFA8D"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D3AE2F1"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7210AB9"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59A52682"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0AACB243" w14:textId="77777777" w:rsidR="00636C30" w:rsidRDefault="00636C30" w:rsidP="00636C30">
      <w:pPr>
        <w:rPr>
          <w:rFonts w:asciiTheme="majorHAnsi" w:hAnsiTheme="majorHAnsi" w:cstheme="majorHAnsi"/>
        </w:rPr>
      </w:pPr>
    </w:p>
    <w:p w14:paraId="0DF73026" w14:textId="77777777" w:rsidR="001D2DAA" w:rsidRDefault="001D2DAA" w:rsidP="001D2DAA">
      <w:pPr>
        <w:rPr>
          <w:rFonts w:asciiTheme="majorHAnsi" w:hAnsiTheme="majorHAnsi" w:cstheme="majorHAnsi"/>
        </w:rPr>
      </w:pPr>
    </w:p>
    <w:p w14:paraId="5EFEDAE6" w14:textId="77777777" w:rsidR="001D2DAA" w:rsidRDefault="001D2DAA" w:rsidP="001D2DAA">
      <w:pPr>
        <w:rPr>
          <w:rFonts w:asciiTheme="majorHAnsi" w:hAnsiTheme="majorHAnsi" w:cstheme="majorHAnsi"/>
        </w:rPr>
      </w:pPr>
      <w:r>
        <w:rPr>
          <w:rFonts w:asciiTheme="majorHAnsi" w:hAnsiTheme="majorHAnsi" w:cstheme="majorHAnsi"/>
        </w:rPr>
        <w:br w:type="page"/>
      </w:r>
    </w:p>
    <w:p w14:paraId="5A16FE2F"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3F2239C0"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1F0E4B13"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0262E6F5"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2742EA52"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4D2410CD"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7BA55E1D"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12186FFB"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4E8CA3F5"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047ADB8E"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78457920"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1C44B6B7"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13224826"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2536A017"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3BA8545E"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43B974F6"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3CC8E0E7"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2E4BD4FB" w14:textId="77777777" w:rsidR="001D2DAA" w:rsidRPr="00977090" w:rsidRDefault="001D2DAA" w:rsidP="001D2DAA">
      <w:pPr>
        <w:pStyle w:val="Default"/>
        <w:rPr>
          <w:rFonts w:asciiTheme="majorHAnsi" w:hAnsiTheme="majorHAnsi" w:cstheme="majorHAnsi"/>
          <w:color w:val="auto"/>
          <w:sz w:val="22"/>
          <w:szCs w:val="22"/>
        </w:rPr>
      </w:pPr>
    </w:p>
    <w:p w14:paraId="2E3678A0" w14:textId="77777777" w:rsidR="002303F3" w:rsidRPr="008E3910" w:rsidRDefault="002303F3" w:rsidP="008E3910">
      <w:pPr>
        <w:spacing w:after="0"/>
        <w:jc w:val="both"/>
        <w:rPr>
          <w:rFonts w:asciiTheme="majorHAnsi" w:hAnsiTheme="majorHAnsi" w:cstheme="majorHAnsi"/>
        </w:rPr>
      </w:pPr>
      <w:r w:rsidRPr="008E3910">
        <w:rPr>
          <w:rFonts w:asciiTheme="majorHAnsi" w:hAnsiTheme="majorHAnsi" w:cstheme="majorHAnsi"/>
        </w:rPr>
        <w:t xml:space="preserve">GE Healthcare </w:t>
      </w:r>
      <w:proofErr w:type="spellStart"/>
      <w:r w:rsidRPr="008E3910">
        <w:rPr>
          <w:rFonts w:asciiTheme="majorHAnsi" w:hAnsiTheme="majorHAnsi" w:cstheme="majorHAnsi"/>
        </w:rPr>
        <w:t>работи</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със</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своите</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доставчици</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за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да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осигури</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съответствие</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на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артикулите</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внесени</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или</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произведени</w:t>
      </w:r>
      <w:proofErr w:type="spellEnd"/>
      <w:r w:rsidRPr="008E3910">
        <w:rPr>
          <w:rFonts w:asciiTheme="majorHAnsi" w:hAnsiTheme="majorHAnsi" w:cstheme="majorHAnsi"/>
        </w:rPr>
        <w:t xml:space="preserve"> в </w:t>
      </w:r>
      <w:proofErr w:type="spellStart"/>
      <w:r w:rsidRPr="008E3910">
        <w:rPr>
          <w:rFonts w:asciiTheme="majorHAnsi" w:hAnsiTheme="majorHAnsi" w:cstheme="majorHAnsi"/>
        </w:rPr>
        <w:t>рамките</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на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Европейския</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съюз</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които</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са</w:t>
      </w:r>
      <w:proofErr w:type="spellEnd"/>
      <w:r w:rsidRPr="008E3910">
        <w:rPr>
          <w:rFonts w:asciiTheme="majorHAnsi" w:hAnsiTheme="majorHAnsi" w:cstheme="majorHAnsi"/>
        </w:rPr>
        <w:t xml:space="preserve"> в </w:t>
      </w:r>
      <w:proofErr w:type="spellStart"/>
      <w:r w:rsidRPr="008E3910">
        <w:rPr>
          <w:rFonts w:asciiTheme="majorHAnsi" w:hAnsiTheme="majorHAnsi" w:cstheme="majorHAnsi"/>
        </w:rPr>
        <w:t>обхвата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на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Регламента</w:t>
      </w:r>
      <w:proofErr w:type="spellEnd"/>
      <w:r w:rsidRPr="008E3910">
        <w:rPr>
          <w:rFonts w:asciiTheme="majorHAnsi" w:hAnsiTheme="majorHAnsi" w:cstheme="majorHAnsi"/>
        </w:rPr>
        <w:t xml:space="preserve"> REACH (ЕО – № 1907/2006), </w:t>
      </w:r>
      <w:proofErr w:type="spellStart"/>
      <w:r w:rsidRPr="008E3910">
        <w:rPr>
          <w:rFonts w:asciiTheme="majorHAnsi" w:hAnsiTheme="majorHAnsi" w:cstheme="majorHAnsi"/>
        </w:rPr>
        <w:t>член</w:t>
      </w:r>
      <w:proofErr w:type="spellEnd"/>
      <w:r w:rsidRPr="008E3910">
        <w:rPr>
          <w:rFonts w:asciiTheme="majorHAnsi" w:hAnsiTheme="majorHAnsi" w:cstheme="majorHAnsi"/>
        </w:rPr>
        <w:t xml:space="preserve"> 33, и </w:t>
      </w:r>
      <w:proofErr w:type="spellStart"/>
      <w:r w:rsidRPr="008E3910">
        <w:rPr>
          <w:rFonts w:asciiTheme="majorHAnsi" w:hAnsiTheme="majorHAnsi" w:cstheme="majorHAnsi"/>
        </w:rPr>
        <w:t>които</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се</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използват</w:t>
      </w:r>
      <w:proofErr w:type="spellEnd"/>
      <w:r w:rsidRPr="008E3910">
        <w:rPr>
          <w:rFonts w:asciiTheme="majorHAnsi" w:hAnsiTheme="majorHAnsi" w:cstheme="majorHAnsi"/>
        </w:rPr>
        <w:t xml:space="preserve"> в </w:t>
      </w:r>
      <w:proofErr w:type="spellStart"/>
      <w:r w:rsidRPr="008E3910">
        <w:rPr>
          <w:rFonts w:asciiTheme="majorHAnsi" w:hAnsiTheme="majorHAnsi" w:cstheme="majorHAnsi"/>
        </w:rPr>
        <w:t>производството</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на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продуктите</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на</w:t>
      </w:r>
      <w:proofErr w:type="spellEnd"/>
      <w:r w:rsidRPr="008E3910">
        <w:rPr>
          <w:rFonts w:asciiTheme="majorHAnsi" w:hAnsiTheme="majorHAnsi" w:cstheme="majorHAnsi"/>
        </w:rPr>
        <w:t xml:space="preserve"> GE Healthcare. </w:t>
      </w:r>
    </w:p>
    <w:p w14:paraId="7ABE6AFD" w14:textId="4677D8D3" w:rsidR="002303F3" w:rsidRPr="008E3910" w:rsidRDefault="002303F3" w:rsidP="008E3910">
      <w:pPr>
        <w:spacing w:after="0"/>
        <w:jc w:val="both"/>
        <w:rPr>
          <w:rFonts w:asciiTheme="majorHAnsi" w:hAnsiTheme="majorHAnsi" w:cstheme="majorHAnsi"/>
        </w:rPr>
      </w:pPr>
      <w:proofErr w:type="spellStart"/>
      <w:r w:rsidRPr="008E3910">
        <w:rPr>
          <w:rFonts w:asciiTheme="majorHAnsi" w:hAnsiTheme="majorHAnsi" w:cstheme="majorHAnsi"/>
        </w:rPr>
        <w:t>По</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отношение</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на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прилагането</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на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член</w:t>
      </w:r>
      <w:proofErr w:type="spellEnd"/>
      <w:r w:rsidRPr="008E3910">
        <w:rPr>
          <w:rFonts w:asciiTheme="majorHAnsi" w:hAnsiTheme="majorHAnsi" w:cstheme="majorHAnsi"/>
        </w:rPr>
        <w:t xml:space="preserve"> 33 </w:t>
      </w:r>
      <w:proofErr w:type="spellStart"/>
      <w:r w:rsidRPr="008E3910">
        <w:rPr>
          <w:rFonts w:asciiTheme="majorHAnsi" w:hAnsiTheme="majorHAnsi" w:cstheme="majorHAnsi"/>
        </w:rPr>
        <w:t>на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Регламента</w:t>
      </w:r>
      <w:proofErr w:type="spellEnd"/>
      <w:r w:rsidRPr="008E3910">
        <w:rPr>
          <w:rFonts w:asciiTheme="majorHAnsi" w:hAnsiTheme="majorHAnsi" w:cstheme="majorHAnsi"/>
        </w:rPr>
        <w:t xml:space="preserve"> REACH и </w:t>
      </w:r>
      <w:proofErr w:type="spellStart"/>
      <w:r w:rsidRPr="008E3910">
        <w:rPr>
          <w:rFonts w:asciiTheme="majorHAnsi" w:hAnsiTheme="majorHAnsi" w:cstheme="majorHAnsi"/>
        </w:rPr>
        <w:t>публикуването</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на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списъка</w:t>
      </w:r>
      <w:proofErr w:type="spellEnd"/>
      <w:r w:rsidRPr="008E3910">
        <w:rPr>
          <w:rFonts w:asciiTheme="majorHAnsi" w:hAnsiTheme="majorHAnsi" w:cstheme="majorHAnsi"/>
        </w:rPr>
        <w:t xml:space="preserve"> с </w:t>
      </w:r>
      <w:proofErr w:type="spellStart"/>
      <w:r w:rsidRPr="008E3910">
        <w:rPr>
          <w:rFonts w:asciiTheme="majorHAnsi" w:hAnsiTheme="majorHAnsi" w:cstheme="majorHAnsi"/>
        </w:rPr>
        <w:t>предложения</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за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пораждащи</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сериозно</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безпокойство</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вещества</w:t>
      </w:r>
      <w:proofErr w:type="spellEnd"/>
      <w:r w:rsidRPr="008E3910">
        <w:rPr>
          <w:rFonts w:asciiTheme="majorHAnsi" w:hAnsiTheme="majorHAnsi" w:cstheme="majorHAnsi"/>
        </w:rPr>
        <w:t xml:space="preserve"> (SVHC) </w:t>
      </w:r>
      <w:proofErr w:type="spellStart"/>
      <w:r w:rsidRPr="008E3910">
        <w:rPr>
          <w:rFonts w:asciiTheme="majorHAnsi" w:hAnsiTheme="majorHAnsi" w:cstheme="majorHAnsi"/>
        </w:rPr>
        <w:t>съгласно</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член</w:t>
      </w:r>
      <w:proofErr w:type="spellEnd"/>
      <w:r w:rsidRPr="008E3910">
        <w:rPr>
          <w:rFonts w:asciiTheme="majorHAnsi" w:hAnsiTheme="majorHAnsi" w:cstheme="majorHAnsi"/>
        </w:rPr>
        <w:t xml:space="preserve"> 59 </w:t>
      </w:r>
      <w:proofErr w:type="spellStart"/>
      <w:r w:rsidRPr="008E3910">
        <w:rPr>
          <w:rFonts w:asciiTheme="majorHAnsi" w:hAnsiTheme="majorHAnsi" w:cstheme="majorHAnsi"/>
        </w:rPr>
        <w:t>на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Регламента</w:t>
      </w:r>
      <w:proofErr w:type="spellEnd"/>
      <w:r w:rsidRPr="008E3910">
        <w:rPr>
          <w:rFonts w:asciiTheme="majorHAnsi" w:hAnsiTheme="majorHAnsi" w:cstheme="majorHAnsi"/>
        </w:rPr>
        <w:t xml:space="preserve"> REACH GE Healthcare е </w:t>
      </w:r>
      <w:proofErr w:type="spellStart"/>
      <w:r w:rsidRPr="008E3910">
        <w:rPr>
          <w:rFonts w:asciiTheme="majorHAnsi" w:hAnsiTheme="majorHAnsi" w:cstheme="majorHAnsi"/>
        </w:rPr>
        <w:t>осведомена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относно</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своите</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правни</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задължения</w:t>
      </w:r>
      <w:proofErr w:type="spellEnd"/>
      <w:r w:rsidRPr="008E3910">
        <w:rPr>
          <w:rFonts w:asciiTheme="majorHAnsi" w:hAnsiTheme="majorHAnsi" w:cstheme="majorHAnsi"/>
        </w:rPr>
        <w:t xml:space="preserve"> и </w:t>
      </w:r>
      <w:proofErr w:type="spellStart"/>
      <w:r w:rsidRPr="008E3910">
        <w:rPr>
          <w:rFonts w:asciiTheme="majorHAnsi" w:hAnsiTheme="majorHAnsi" w:cstheme="majorHAnsi"/>
        </w:rPr>
        <w:t>ще</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ги</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спази</w:t>
      </w:r>
      <w:proofErr w:type="spellEnd"/>
      <w:r w:rsidRPr="008E3910">
        <w:rPr>
          <w:rFonts w:asciiTheme="majorHAnsi" w:hAnsiTheme="majorHAnsi" w:cstheme="majorHAnsi"/>
        </w:rPr>
        <w:t xml:space="preserve">. </w:t>
      </w:r>
    </w:p>
    <w:p w14:paraId="761B5615" w14:textId="77777777" w:rsidR="002303F3" w:rsidRPr="008E3910" w:rsidRDefault="002303F3" w:rsidP="008E3910">
      <w:pPr>
        <w:spacing w:after="0"/>
        <w:jc w:val="both"/>
        <w:rPr>
          <w:rFonts w:asciiTheme="majorHAnsi" w:hAnsiTheme="majorHAnsi" w:cstheme="majorHAnsi"/>
        </w:rPr>
      </w:pPr>
      <w:proofErr w:type="spellStart"/>
      <w:r w:rsidRPr="008E3910">
        <w:rPr>
          <w:rFonts w:asciiTheme="majorHAnsi" w:hAnsiTheme="majorHAnsi" w:cstheme="majorHAnsi"/>
        </w:rPr>
        <w:t>Артикулите</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на</w:t>
      </w:r>
      <w:proofErr w:type="spellEnd"/>
      <w:r w:rsidRPr="008E3910">
        <w:rPr>
          <w:rFonts w:asciiTheme="majorHAnsi" w:hAnsiTheme="majorHAnsi" w:cstheme="majorHAnsi"/>
        </w:rPr>
        <w:t xml:space="preserve"> GE Healthcare </w:t>
      </w:r>
      <w:proofErr w:type="spellStart"/>
      <w:r w:rsidRPr="008E3910">
        <w:rPr>
          <w:rFonts w:asciiTheme="majorHAnsi" w:hAnsiTheme="majorHAnsi" w:cstheme="majorHAnsi"/>
        </w:rPr>
        <w:t>не</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отделят</w:t>
      </w:r>
      <w:proofErr w:type="spellEnd"/>
      <w:r w:rsidRPr="008E3910">
        <w:rPr>
          <w:rFonts w:asciiTheme="majorHAnsi" w:hAnsiTheme="majorHAnsi" w:cstheme="majorHAnsi"/>
        </w:rPr>
        <w:t xml:space="preserve"> </w:t>
      </w:r>
      <w:proofErr w:type="spellStart"/>
      <w:proofErr w:type="gramStart"/>
      <w:r w:rsidRPr="008E3910">
        <w:rPr>
          <w:rFonts w:asciiTheme="majorHAnsi" w:hAnsiTheme="majorHAnsi" w:cstheme="majorHAnsi"/>
        </w:rPr>
        <w:t>умишлено</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вещества</w:t>
      </w:r>
      <w:proofErr w:type="spellEnd"/>
      <w:proofErr w:type="gramEnd"/>
      <w:r w:rsidRPr="008E3910">
        <w:rPr>
          <w:rFonts w:asciiTheme="majorHAnsi" w:hAnsiTheme="majorHAnsi" w:cstheme="majorHAnsi"/>
        </w:rPr>
        <w:t xml:space="preserve"> </w:t>
      </w:r>
      <w:proofErr w:type="spellStart"/>
      <w:r w:rsidRPr="008E3910">
        <w:rPr>
          <w:rFonts w:asciiTheme="majorHAnsi" w:hAnsiTheme="majorHAnsi" w:cstheme="majorHAnsi"/>
        </w:rPr>
        <w:t>при</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нормални</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условия</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на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употреба</w:t>
      </w:r>
      <w:proofErr w:type="spellEnd"/>
      <w:r w:rsidRPr="008E3910">
        <w:rPr>
          <w:rFonts w:asciiTheme="majorHAnsi" w:hAnsiTheme="majorHAnsi" w:cstheme="majorHAnsi"/>
        </w:rPr>
        <w:t xml:space="preserve">. </w:t>
      </w:r>
    </w:p>
    <w:p w14:paraId="11C24C4F" w14:textId="49BDA3B6" w:rsidR="001D2DAA" w:rsidRPr="008E3910" w:rsidRDefault="00DE06BF" w:rsidP="008E3910">
      <w:pPr>
        <w:spacing w:after="0"/>
        <w:jc w:val="both"/>
        <w:rPr>
          <w:rFonts w:asciiTheme="majorHAnsi" w:hAnsiTheme="majorHAnsi" w:cstheme="majorHAnsi"/>
        </w:rPr>
      </w:pPr>
      <w:proofErr w:type="spellStart"/>
      <w:r w:rsidRPr="008E3910">
        <w:rPr>
          <w:rFonts w:asciiTheme="majorHAnsi" w:hAnsiTheme="majorHAnsi" w:cstheme="majorHAnsi"/>
        </w:rPr>
        <w:t>Въз</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основа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на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информация</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от</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нашите</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доставчици</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към</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днешна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дата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тези</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вещества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са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налични</w:t>
      </w:r>
      <w:proofErr w:type="spellEnd"/>
      <w:r w:rsidRPr="008E3910">
        <w:rPr>
          <w:rFonts w:asciiTheme="majorHAnsi" w:hAnsiTheme="majorHAnsi" w:cstheme="majorHAnsi"/>
        </w:rPr>
        <w:t xml:space="preserve"> в </w:t>
      </w:r>
      <w:proofErr w:type="spellStart"/>
      <w:r w:rsidRPr="008E3910">
        <w:rPr>
          <w:rFonts w:asciiTheme="majorHAnsi" w:hAnsiTheme="majorHAnsi" w:cstheme="majorHAnsi"/>
        </w:rPr>
        <w:t>следните</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продукти</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при</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концентрация</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която</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може</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да</w:t>
      </w:r>
      <w:proofErr w:type="spellEnd"/>
      <w:r w:rsidRPr="008E3910">
        <w:rPr>
          <w:rFonts w:asciiTheme="majorHAnsi" w:hAnsiTheme="majorHAnsi" w:cstheme="majorHAnsi"/>
        </w:rPr>
        <w:t xml:space="preserve"> е </w:t>
      </w:r>
      <w:proofErr w:type="spellStart"/>
      <w:r w:rsidRPr="008E3910">
        <w:rPr>
          <w:rFonts w:asciiTheme="majorHAnsi" w:hAnsiTheme="majorHAnsi" w:cstheme="majorHAnsi"/>
        </w:rPr>
        <w:t>по-голяма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от</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прага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от</w:t>
      </w:r>
      <w:proofErr w:type="spellEnd"/>
      <w:r w:rsidRPr="008E3910">
        <w:rPr>
          <w:rFonts w:asciiTheme="majorHAnsi" w:hAnsiTheme="majorHAnsi" w:cstheme="majorHAnsi"/>
        </w:rPr>
        <w:t xml:space="preserve"> 0,1% </w:t>
      </w:r>
      <w:proofErr w:type="spellStart"/>
      <w:r w:rsidRPr="008E3910">
        <w:rPr>
          <w:rFonts w:asciiTheme="majorHAnsi" w:hAnsiTheme="majorHAnsi" w:cstheme="majorHAnsi"/>
        </w:rPr>
        <w:t>обемни</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процента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при</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ниво</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на</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артикул</w:t>
      </w:r>
      <w:proofErr w:type="spellEnd"/>
      <w:r w:rsidRPr="008E3910">
        <w:rPr>
          <w:rFonts w:asciiTheme="majorHAnsi" w:hAnsiTheme="majorHAnsi" w:cstheme="majorHAnsi"/>
        </w:rPr>
        <w:t>:</w:t>
      </w:r>
    </w:p>
    <w:p w14:paraId="65F61CBB" w14:textId="77777777" w:rsidR="00F8699D" w:rsidRPr="006706BE" w:rsidRDefault="00F8699D" w:rsidP="008A27FD">
      <w:pPr>
        <w:spacing w:after="0"/>
        <w:rPr>
          <w:rFonts w:asciiTheme="majorHAnsi" w:hAnsiTheme="majorHAnsi" w:cstheme="majorHAnsi"/>
          <w:color w:val="ED7D31" w:themeColor="accent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389B93F2" w14:textId="77777777" w:rsidTr="00636C30">
        <w:trPr>
          <w:trHeight w:val="290"/>
        </w:trPr>
        <w:tc>
          <w:tcPr>
            <w:tcW w:w="1413" w:type="dxa"/>
            <w:noWrap/>
          </w:tcPr>
          <w:p w14:paraId="2DB92E51" w14:textId="77777777" w:rsidR="001D2DAA" w:rsidRPr="008E3910" w:rsidRDefault="008A27FD" w:rsidP="005A2C7D">
            <w:pPr>
              <w:spacing w:after="0" w:line="240" w:lineRule="auto"/>
              <w:rPr>
                <w:rFonts w:asciiTheme="majorHAnsi" w:hAnsiTheme="majorHAnsi" w:cstheme="majorHAnsi"/>
                <w:b/>
                <w:bCs/>
              </w:rPr>
            </w:pPr>
            <w:proofErr w:type="spellStart"/>
            <w:r w:rsidRPr="008E3910">
              <w:rPr>
                <w:rFonts w:asciiTheme="majorHAnsi" w:hAnsiTheme="majorHAnsi" w:cstheme="majorHAnsi"/>
                <w:b/>
                <w:bCs/>
              </w:rPr>
              <w:t>Име</w:t>
            </w:r>
            <w:proofErr w:type="spellEnd"/>
            <w:r w:rsidRPr="008E3910">
              <w:rPr>
                <w:rFonts w:asciiTheme="majorHAnsi" w:hAnsiTheme="majorHAnsi" w:cstheme="majorHAnsi"/>
                <w:b/>
                <w:bCs/>
              </w:rPr>
              <w:t xml:space="preserve"> </w:t>
            </w:r>
            <w:proofErr w:type="spellStart"/>
            <w:r w:rsidRPr="008E3910">
              <w:rPr>
                <w:rFonts w:asciiTheme="majorHAnsi" w:hAnsiTheme="majorHAnsi" w:cstheme="majorHAnsi"/>
                <w:b/>
                <w:bCs/>
              </w:rPr>
              <w:t>на</w:t>
            </w:r>
            <w:proofErr w:type="spellEnd"/>
            <w:r w:rsidRPr="008E3910">
              <w:rPr>
                <w:rFonts w:asciiTheme="majorHAnsi" w:hAnsiTheme="majorHAnsi" w:cstheme="majorHAnsi"/>
                <w:b/>
                <w:bCs/>
              </w:rPr>
              <w:t xml:space="preserve"> </w:t>
            </w:r>
            <w:proofErr w:type="spellStart"/>
            <w:r w:rsidRPr="008E3910">
              <w:rPr>
                <w:rFonts w:asciiTheme="majorHAnsi" w:hAnsiTheme="majorHAnsi" w:cstheme="majorHAnsi"/>
                <w:b/>
                <w:bCs/>
              </w:rPr>
              <w:t>продукт</w:t>
            </w:r>
            <w:proofErr w:type="spellEnd"/>
          </w:p>
        </w:tc>
        <w:tc>
          <w:tcPr>
            <w:tcW w:w="5953" w:type="dxa"/>
          </w:tcPr>
          <w:p w14:paraId="3432A0FC" w14:textId="77777777" w:rsidR="001D2DAA" w:rsidRPr="008E3910" w:rsidRDefault="008A27FD" w:rsidP="005A2C7D">
            <w:pPr>
              <w:spacing w:after="0" w:line="240" w:lineRule="auto"/>
              <w:rPr>
                <w:rFonts w:asciiTheme="majorHAnsi" w:hAnsiTheme="majorHAnsi" w:cstheme="majorHAnsi"/>
                <w:b/>
                <w:bCs/>
              </w:rPr>
            </w:pPr>
            <w:proofErr w:type="spellStart"/>
            <w:r w:rsidRPr="008E3910">
              <w:rPr>
                <w:rFonts w:asciiTheme="majorHAnsi" w:hAnsiTheme="majorHAnsi" w:cstheme="majorHAnsi"/>
                <w:b/>
                <w:bCs/>
              </w:rPr>
              <w:t>Наименование</w:t>
            </w:r>
            <w:proofErr w:type="spellEnd"/>
            <w:r w:rsidRPr="008E3910">
              <w:rPr>
                <w:rFonts w:asciiTheme="majorHAnsi" w:hAnsiTheme="majorHAnsi" w:cstheme="majorHAnsi"/>
                <w:b/>
                <w:bCs/>
              </w:rPr>
              <w:t xml:space="preserve"> </w:t>
            </w:r>
            <w:proofErr w:type="spellStart"/>
            <w:r w:rsidRPr="008E3910">
              <w:rPr>
                <w:rFonts w:asciiTheme="majorHAnsi" w:hAnsiTheme="majorHAnsi" w:cstheme="majorHAnsi"/>
                <w:b/>
                <w:bCs/>
              </w:rPr>
              <w:t>на</w:t>
            </w:r>
            <w:proofErr w:type="spellEnd"/>
            <w:r w:rsidRPr="008E3910">
              <w:rPr>
                <w:rFonts w:asciiTheme="majorHAnsi" w:hAnsiTheme="majorHAnsi" w:cstheme="majorHAnsi"/>
                <w:b/>
                <w:bCs/>
              </w:rPr>
              <w:t xml:space="preserve"> </w:t>
            </w:r>
            <w:proofErr w:type="spellStart"/>
            <w:r w:rsidRPr="008E3910">
              <w:rPr>
                <w:rFonts w:asciiTheme="majorHAnsi" w:hAnsiTheme="majorHAnsi" w:cstheme="majorHAnsi"/>
                <w:b/>
                <w:bCs/>
              </w:rPr>
              <w:t>веществото</w:t>
            </w:r>
            <w:proofErr w:type="spellEnd"/>
          </w:p>
        </w:tc>
        <w:tc>
          <w:tcPr>
            <w:tcW w:w="1696" w:type="dxa"/>
          </w:tcPr>
          <w:p w14:paraId="1556A8EF" w14:textId="77777777" w:rsidR="001D2DAA" w:rsidRPr="008E3910" w:rsidRDefault="008A27FD" w:rsidP="005A2C7D">
            <w:pPr>
              <w:spacing w:after="0" w:line="240" w:lineRule="auto"/>
              <w:rPr>
                <w:rFonts w:asciiTheme="majorHAnsi" w:hAnsiTheme="majorHAnsi" w:cstheme="majorHAnsi"/>
                <w:b/>
                <w:bCs/>
                <w:lang w:val="fr-FR"/>
              </w:rPr>
            </w:pPr>
            <w:r w:rsidRPr="008E3910">
              <w:rPr>
                <w:rFonts w:asciiTheme="majorHAnsi" w:hAnsiTheme="majorHAnsi" w:cstheme="majorHAnsi"/>
                <w:b/>
                <w:bCs/>
                <w:lang w:val="fr-FR"/>
              </w:rPr>
              <w:t>CAS №</w:t>
            </w:r>
          </w:p>
        </w:tc>
      </w:tr>
      <w:tr w:rsidR="0070054A" w:rsidRPr="00B93A55" w14:paraId="6AF1ED14" w14:textId="77777777" w:rsidTr="003E41E7">
        <w:trPr>
          <w:trHeight w:val="290"/>
        </w:trPr>
        <w:tc>
          <w:tcPr>
            <w:tcW w:w="9062" w:type="dxa"/>
            <w:gridSpan w:val="3"/>
            <w:noWrap/>
          </w:tcPr>
          <w:p w14:paraId="0A293C10" w14:textId="77777777" w:rsidR="0070054A" w:rsidRPr="00B93A55" w:rsidRDefault="0070054A"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70054A" w14:paraId="4497AD4E" w14:textId="77777777" w:rsidTr="003E41E7">
        <w:trPr>
          <w:trHeight w:val="290"/>
        </w:trPr>
        <w:tc>
          <w:tcPr>
            <w:tcW w:w="1413" w:type="dxa"/>
            <w:noWrap/>
            <w:hideMark/>
          </w:tcPr>
          <w:p w14:paraId="5E210C1A"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34DA3AC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30CDAE0"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F35984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61F613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CE04B46" w14:textId="77777777" w:rsidR="0070054A" w:rsidRPr="007825CB" w:rsidRDefault="0070054A"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53B4984A"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243433F"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977A518"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E05886B"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54F7712"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58C67029" w14:textId="77777777" w:rsidTr="003E41E7">
        <w:trPr>
          <w:trHeight w:val="1448"/>
        </w:trPr>
        <w:tc>
          <w:tcPr>
            <w:tcW w:w="1413" w:type="dxa"/>
            <w:noWrap/>
            <w:hideMark/>
          </w:tcPr>
          <w:p w14:paraId="09E052EB"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7DD9C31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61DE1EF"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371577A"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E35D25E"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1D41AF8" w14:textId="77777777" w:rsidR="0070054A" w:rsidRPr="007825CB" w:rsidRDefault="0070054A"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011B662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3299EC9"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EBD5199"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FF031FB"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CBA7926"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4AC40631" w14:textId="77777777" w:rsidTr="003E41E7">
        <w:trPr>
          <w:trHeight w:val="290"/>
        </w:trPr>
        <w:tc>
          <w:tcPr>
            <w:tcW w:w="1413" w:type="dxa"/>
            <w:noWrap/>
            <w:hideMark/>
          </w:tcPr>
          <w:p w14:paraId="4FC9A810"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06415F7C"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4F8BA38"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50CA33A"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0DEBA57"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B9F8661" w14:textId="77777777" w:rsidR="0070054A" w:rsidRPr="007825CB" w:rsidRDefault="0070054A"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21F30AEF"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03F7488C"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0A6CE8B"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A4E805D"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09F4FC6"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rsidRPr="001F3911" w14:paraId="58205C5A" w14:textId="77777777" w:rsidTr="003E41E7">
        <w:trPr>
          <w:trHeight w:val="290"/>
        </w:trPr>
        <w:tc>
          <w:tcPr>
            <w:tcW w:w="9062" w:type="dxa"/>
            <w:gridSpan w:val="3"/>
            <w:noWrap/>
          </w:tcPr>
          <w:p w14:paraId="5D2E6688" w14:textId="77777777" w:rsidR="0070054A" w:rsidRPr="001F3911" w:rsidRDefault="0070054A"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70054A" w14:paraId="18129D2D"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6C83C694"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16660C7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3F8C589"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9BEFB39"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EB8AD79"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DE3C6C8"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064DDFF8"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495E37D"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5452DAB"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9F5CB5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585C63B"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0D4A828C"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1D2495BA"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1F90B3E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0D52424B"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7C5F28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FF57F6D"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82671C2"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5E6EE6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753BCFA"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285B66F"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EB4A4A7"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31D7CD3"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30C2F1B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E7EEACE"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6602D8A5"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63E1CDE"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7E62BD7"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42CC3FB"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46724BD"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3F9351C"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A7753D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ED7D1FE"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89FDF48"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845971C"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rsidRPr="001F3911" w14:paraId="67432C08"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41C03D45" w14:textId="77777777" w:rsidR="0070054A" w:rsidRDefault="0070054A"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06FB4B99"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718FE3A7"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381D6AEA"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5B9B668D"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73BA1D5D" w14:textId="77777777" w:rsidR="0070054A" w:rsidRPr="001F3911"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6057970"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5B1092E1"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25DFAFBC"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11658BA7"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7FAB3CA9" w14:textId="77777777" w:rsidR="0070054A" w:rsidRPr="001F3911"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70054A" w14:paraId="09AEDABA"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16FD2CDD" w14:textId="77777777" w:rsidR="0070054A" w:rsidRDefault="0070054A"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70054A" w14:paraId="109E50F8"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1409CD24"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570FA110"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0DA2CB7E"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9654ABC"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DF0DD58"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C686B03"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6CDE173F"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1F2EBED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F5B971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7BF4F0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1478FF0"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169E692"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26BF3699"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0BCA8674"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2494F537"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018FFE86"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0C240F5C"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E6DE422"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8D5DC08"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F6701CF"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2DBD5969"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541BEAAF"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E0717BC"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126712D"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AD071B6"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9A72CF5"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4D749024"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70054A" w14:paraId="18C70E9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394CDA7" w14:textId="77777777" w:rsidR="0070054A" w:rsidRPr="00140A1F" w:rsidRDefault="0070054A"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2EA284BE"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BCB3747"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E1478DC"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26D5022"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6A81BBE"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4A3D175F"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4B67F11"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083563B4"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33EB089" w14:textId="77777777" w:rsidR="0070054A" w:rsidRPr="001F3911"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7071778"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61C03B5" w14:textId="77777777" w:rsidR="0070054A" w:rsidRPr="001F3911" w:rsidRDefault="0070054A"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7BC6E834" w14:textId="77777777" w:rsidR="0070054A" w:rsidRDefault="0070054A"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29080552" w14:textId="77777777" w:rsidR="00636C30" w:rsidRDefault="00636C30" w:rsidP="00636C30">
      <w:pPr>
        <w:rPr>
          <w:rFonts w:asciiTheme="majorHAnsi" w:hAnsiTheme="majorHAnsi" w:cstheme="majorHAnsi"/>
        </w:rPr>
      </w:pPr>
    </w:p>
    <w:p w14:paraId="486C6B26" w14:textId="77777777" w:rsidR="001D2DAA" w:rsidRDefault="001D2DAA" w:rsidP="001D2DAA">
      <w:pPr>
        <w:rPr>
          <w:rFonts w:asciiTheme="majorHAnsi" w:hAnsiTheme="majorHAnsi" w:cstheme="majorHAnsi"/>
        </w:rPr>
      </w:pPr>
    </w:p>
    <w:p w14:paraId="02576926" w14:textId="77777777" w:rsidR="001D2DAA" w:rsidRDefault="001D2DAA" w:rsidP="001D2DAA">
      <w:pPr>
        <w:rPr>
          <w:rFonts w:asciiTheme="majorHAnsi" w:hAnsiTheme="majorHAnsi" w:cstheme="majorHAnsi"/>
        </w:rPr>
      </w:pPr>
      <w:r>
        <w:rPr>
          <w:rFonts w:asciiTheme="majorHAnsi" w:hAnsiTheme="majorHAnsi" w:cstheme="majorHAnsi"/>
        </w:rPr>
        <w:br w:type="page"/>
      </w:r>
    </w:p>
    <w:p w14:paraId="14B1BB0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01619384"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1764EA1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15760A62"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6C78FC88"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787CF0AD"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6C2A260A"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28023DF4"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790F77E7"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6177D6F2"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4D7DEFD5"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7366AA1F"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44996F1B"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4D4844C9"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6883B506"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1FC49780"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53F4C7B1"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3060B5C6" w14:textId="77777777" w:rsidR="001D2DAA" w:rsidRPr="00977090" w:rsidRDefault="001D2DAA" w:rsidP="001D2DAA">
      <w:pPr>
        <w:pStyle w:val="Default"/>
        <w:rPr>
          <w:rFonts w:asciiTheme="majorHAnsi" w:hAnsiTheme="majorHAnsi" w:cstheme="majorHAnsi"/>
          <w:color w:val="auto"/>
          <w:sz w:val="22"/>
          <w:szCs w:val="22"/>
        </w:rPr>
      </w:pPr>
    </w:p>
    <w:p w14:paraId="092A3A09" w14:textId="77777777" w:rsidR="00AA54BB" w:rsidRPr="008E3910" w:rsidRDefault="00AA54BB" w:rsidP="008E3910">
      <w:pPr>
        <w:spacing w:after="0"/>
        <w:jc w:val="both"/>
        <w:rPr>
          <w:rFonts w:asciiTheme="majorHAnsi" w:hAnsiTheme="majorHAnsi" w:cstheme="majorHAnsi"/>
        </w:rPr>
      </w:pPr>
      <w:proofErr w:type="spellStart"/>
      <w:r w:rsidRPr="008E3910">
        <w:rPr>
          <w:rFonts w:asciiTheme="majorHAnsi" w:hAnsiTheme="majorHAnsi" w:cstheme="majorHAnsi"/>
        </w:rPr>
        <w:t>Společnost</w:t>
      </w:r>
      <w:proofErr w:type="spellEnd"/>
      <w:r w:rsidRPr="008E3910">
        <w:rPr>
          <w:rFonts w:asciiTheme="majorHAnsi" w:hAnsiTheme="majorHAnsi" w:cstheme="majorHAnsi"/>
        </w:rPr>
        <w:t xml:space="preserve"> GE Healthcare </w:t>
      </w:r>
      <w:proofErr w:type="spellStart"/>
      <w:r w:rsidRPr="008E3910">
        <w:rPr>
          <w:rFonts w:asciiTheme="majorHAnsi" w:hAnsiTheme="majorHAnsi" w:cstheme="majorHAnsi"/>
        </w:rPr>
        <w:t>spolupracuje</w:t>
      </w:r>
      <w:proofErr w:type="spellEnd"/>
      <w:r w:rsidRPr="008E3910">
        <w:rPr>
          <w:rFonts w:asciiTheme="majorHAnsi" w:hAnsiTheme="majorHAnsi" w:cstheme="majorHAnsi"/>
        </w:rPr>
        <w:t xml:space="preserve"> se </w:t>
      </w:r>
      <w:proofErr w:type="spellStart"/>
      <w:r w:rsidRPr="008E3910">
        <w:rPr>
          <w:rFonts w:asciiTheme="majorHAnsi" w:hAnsiTheme="majorHAnsi" w:cstheme="majorHAnsi"/>
        </w:rPr>
        <w:t>svými</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dodavateli</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na</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zajištění</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souladu</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výrobků</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dovážených</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nebo</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vyrobených</w:t>
      </w:r>
      <w:proofErr w:type="spellEnd"/>
      <w:r w:rsidRPr="008E3910">
        <w:rPr>
          <w:rFonts w:asciiTheme="majorHAnsi" w:hAnsiTheme="majorHAnsi" w:cstheme="majorHAnsi"/>
        </w:rPr>
        <w:t xml:space="preserve"> v </w:t>
      </w:r>
      <w:proofErr w:type="spellStart"/>
      <w:r w:rsidRPr="008E3910">
        <w:rPr>
          <w:rFonts w:asciiTheme="majorHAnsi" w:hAnsiTheme="majorHAnsi" w:cstheme="majorHAnsi"/>
        </w:rPr>
        <w:t>Evropské</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unii</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které</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podléhají</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směrnici</w:t>
      </w:r>
      <w:proofErr w:type="spellEnd"/>
      <w:r w:rsidRPr="008E3910">
        <w:rPr>
          <w:rFonts w:asciiTheme="majorHAnsi" w:hAnsiTheme="majorHAnsi" w:cstheme="majorHAnsi"/>
        </w:rPr>
        <w:t xml:space="preserve"> REACH (EC- č. 1907/2006), </w:t>
      </w:r>
      <w:proofErr w:type="spellStart"/>
      <w:r w:rsidRPr="008E3910">
        <w:rPr>
          <w:rFonts w:asciiTheme="majorHAnsi" w:hAnsiTheme="majorHAnsi" w:cstheme="majorHAnsi"/>
        </w:rPr>
        <w:t>článek</w:t>
      </w:r>
      <w:proofErr w:type="spellEnd"/>
      <w:r w:rsidRPr="008E3910">
        <w:rPr>
          <w:rFonts w:asciiTheme="majorHAnsi" w:hAnsiTheme="majorHAnsi" w:cstheme="majorHAnsi"/>
        </w:rPr>
        <w:t xml:space="preserve"> 33, a </w:t>
      </w:r>
      <w:proofErr w:type="spellStart"/>
      <w:r w:rsidRPr="008E3910">
        <w:rPr>
          <w:rFonts w:asciiTheme="majorHAnsi" w:hAnsiTheme="majorHAnsi" w:cstheme="majorHAnsi"/>
        </w:rPr>
        <w:t>použitých</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při</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výrobě</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produktů</w:t>
      </w:r>
      <w:proofErr w:type="spellEnd"/>
      <w:r w:rsidRPr="008E3910">
        <w:rPr>
          <w:rFonts w:asciiTheme="majorHAnsi" w:hAnsiTheme="majorHAnsi" w:cstheme="majorHAnsi"/>
        </w:rPr>
        <w:t xml:space="preserve"> GE Healthcare. </w:t>
      </w:r>
    </w:p>
    <w:p w14:paraId="34011B3A" w14:textId="77777777" w:rsidR="00AA54BB" w:rsidRPr="008E3910" w:rsidRDefault="00AA54BB" w:rsidP="008E3910">
      <w:pPr>
        <w:spacing w:after="0"/>
        <w:jc w:val="both"/>
        <w:rPr>
          <w:rFonts w:asciiTheme="majorHAnsi" w:hAnsiTheme="majorHAnsi" w:cstheme="majorHAnsi"/>
        </w:rPr>
      </w:pPr>
      <w:proofErr w:type="spellStart"/>
      <w:r w:rsidRPr="008E3910">
        <w:rPr>
          <w:rFonts w:asciiTheme="majorHAnsi" w:hAnsiTheme="majorHAnsi" w:cstheme="majorHAnsi"/>
        </w:rPr>
        <w:t>Pokud</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jde</w:t>
      </w:r>
      <w:proofErr w:type="spellEnd"/>
      <w:r w:rsidRPr="008E3910">
        <w:rPr>
          <w:rFonts w:asciiTheme="majorHAnsi" w:hAnsiTheme="majorHAnsi" w:cstheme="majorHAnsi"/>
        </w:rPr>
        <w:t xml:space="preserve"> o </w:t>
      </w:r>
      <w:proofErr w:type="spellStart"/>
      <w:r w:rsidRPr="008E3910">
        <w:rPr>
          <w:rFonts w:asciiTheme="majorHAnsi" w:hAnsiTheme="majorHAnsi" w:cstheme="majorHAnsi"/>
        </w:rPr>
        <w:t>aplikaci</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článku</w:t>
      </w:r>
      <w:proofErr w:type="spellEnd"/>
      <w:r w:rsidRPr="008E3910">
        <w:rPr>
          <w:rFonts w:asciiTheme="majorHAnsi" w:hAnsiTheme="majorHAnsi" w:cstheme="majorHAnsi"/>
        </w:rPr>
        <w:t xml:space="preserve"> 33 </w:t>
      </w:r>
      <w:proofErr w:type="spellStart"/>
      <w:r w:rsidRPr="008E3910">
        <w:rPr>
          <w:rFonts w:asciiTheme="majorHAnsi" w:hAnsiTheme="majorHAnsi" w:cstheme="majorHAnsi"/>
        </w:rPr>
        <w:t>nařízení</w:t>
      </w:r>
      <w:proofErr w:type="spellEnd"/>
      <w:r w:rsidRPr="008E3910">
        <w:rPr>
          <w:rFonts w:asciiTheme="majorHAnsi" w:hAnsiTheme="majorHAnsi" w:cstheme="majorHAnsi"/>
        </w:rPr>
        <w:t xml:space="preserve"> REACH a </w:t>
      </w:r>
      <w:proofErr w:type="spellStart"/>
      <w:r w:rsidRPr="008E3910">
        <w:rPr>
          <w:rFonts w:asciiTheme="majorHAnsi" w:hAnsiTheme="majorHAnsi" w:cstheme="majorHAnsi"/>
        </w:rPr>
        <w:t>publikaci</w:t>
      </w:r>
      <w:proofErr w:type="spellEnd"/>
      <w:r w:rsidRPr="008E3910">
        <w:rPr>
          <w:rFonts w:asciiTheme="majorHAnsi" w:hAnsiTheme="majorHAnsi" w:cstheme="majorHAnsi"/>
        </w:rPr>
        <w:t xml:space="preserve"> Candidate List of Substances of Very High Concern (SVHC) (</w:t>
      </w:r>
      <w:proofErr w:type="spellStart"/>
      <w:r w:rsidRPr="008E3910">
        <w:rPr>
          <w:rFonts w:asciiTheme="majorHAnsi" w:hAnsiTheme="majorHAnsi" w:cstheme="majorHAnsi"/>
        </w:rPr>
        <w:t>Seznam</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navržených</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látek</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vzbuzujících</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mimořádné</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obavy</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podle</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článku</w:t>
      </w:r>
      <w:proofErr w:type="spellEnd"/>
      <w:r w:rsidRPr="008E3910">
        <w:rPr>
          <w:rFonts w:asciiTheme="majorHAnsi" w:hAnsiTheme="majorHAnsi" w:cstheme="majorHAnsi"/>
        </w:rPr>
        <w:t xml:space="preserve"> 59 </w:t>
      </w:r>
      <w:proofErr w:type="spellStart"/>
      <w:r w:rsidRPr="008E3910">
        <w:rPr>
          <w:rFonts w:asciiTheme="majorHAnsi" w:hAnsiTheme="majorHAnsi" w:cstheme="majorHAnsi"/>
        </w:rPr>
        <w:t>směrnice</w:t>
      </w:r>
      <w:proofErr w:type="spellEnd"/>
      <w:r w:rsidRPr="008E3910">
        <w:rPr>
          <w:rFonts w:asciiTheme="majorHAnsi" w:hAnsiTheme="majorHAnsi" w:cstheme="majorHAnsi"/>
        </w:rPr>
        <w:t xml:space="preserve"> REACH, </w:t>
      </w:r>
      <w:proofErr w:type="spellStart"/>
      <w:r w:rsidRPr="008E3910">
        <w:rPr>
          <w:rFonts w:asciiTheme="majorHAnsi" w:hAnsiTheme="majorHAnsi" w:cstheme="majorHAnsi"/>
        </w:rPr>
        <w:t>společnost</w:t>
      </w:r>
      <w:proofErr w:type="spellEnd"/>
      <w:r w:rsidRPr="008E3910">
        <w:rPr>
          <w:rFonts w:asciiTheme="majorHAnsi" w:hAnsiTheme="majorHAnsi" w:cstheme="majorHAnsi"/>
        </w:rPr>
        <w:t xml:space="preserve"> GE Healthcare </w:t>
      </w:r>
      <w:proofErr w:type="spellStart"/>
      <w:r w:rsidRPr="008E3910">
        <w:rPr>
          <w:rFonts w:asciiTheme="majorHAnsi" w:hAnsiTheme="majorHAnsi" w:cstheme="majorHAnsi"/>
        </w:rPr>
        <w:t>si</w:t>
      </w:r>
      <w:proofErr w:type="spellEnd"/>
      <w:r w:rsidRPr="008E3910">
        <w:rPr>
          <w:rFonts w:asciiTheme="majorHAnsi" w:hAnsiTheme="majorHAnsi" w:cstheme="majorHAnsi"/>
        </w:rPr>
        <w:t xml:space="preserve"> je </w:t>
      </w:r>
      <w:proofErr w:type="spellStart"/>
      <w:r w:rsidRPr="008E3910">
        <w:rPr>
          <w:rFonts w:asciiTheme="majorHAnsi" w:hAnsiTheme="majorHAnsi" w:cstheme="majorHAnsi"/>
        </w:rPr>
        <w:t>vědoma</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zákonných</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závazků</w:t>
      </w:r>
      <w:proofErr w:type="spellEnd"/>
      <w:r w:rsidRPr="008E3910">
        <w:rPr>
          <w:rFonts w:asciiTheme="majorHAnsi" w:hAnsiTheme="majorHAnsi" w:cstheme="majorHAnsi"/>
        </w:rPr>
        <w:t xml:space="preserve"> a </w:t>
      </w:r>
      <w:proofErr w:type="spellStart"/>
      <w:r w:rsidRPr="008E3910">
        <w:rPr>
          <w:rFonts w:asciiTheme="majorHAnsi" w:hAnsiTheme="majorHAnsi" w:cstheme="majorHAnsi"/>
        </w:rPr>
        <w:t>bude</w:t>
      </w:r>
      <w:proofErr w:type="spellEnd"/>
      <w:r w:rsidRPr="008E3910">
        <w:rPr>
          <w:rFonts w:asciiTheme="majorHAnsi" w:hAnsiTheme="majorHAnsi" w:cstheme="majorHAnsi"/>
        </w:rPr>
        <w:t xml:space="preserve"> je </w:t>
      </w:r>
      <w:proofErr w:type="spellStart"/>
      <w:r w:rsidRPr="008E3910">
        <w:rPr>
          <w:rFonts w:asciiTheme="majorHAnsi" w:hAnsiTheme="majorHAnsi" w:cstheme="majorHAnsi"/>
        </w:rPr>
        <w:t>dodržovat</w:t>
      </w:r>
      <w:proofErr w:type="spellEnd"/>
      <w:r w:rsidRPr="008E3910">
        <w:rPr>
          <w:rFonts w:asciiTheme="majorHAnsi" w:hAnsiTheme="majorHAnsi" w:cstheme="majorHAnsi"/>
        </w:rPr>
        <w:t xml:space="preserve">. </w:t>
      </w:r>
    </w:p>
    <w:p w14:paraId="297E3D23" w14:textId="611BC655" w:rsidR="00AA54BB" w:rsidRPr="008E3910" w:rsidRDefault="00AA54BB" w:rsidP="008E3910">
      <w:pPr>
        <w:spacing w:after="0"/>
        <w:jc w:val="both"/>
        <w:rPr>
          <w:rFonts w:asciiTheme="majorHAnsi" w:hAnsiTheme="majorHAnsi" w:cstheme="majorHAnsi"/>
        </w:rPr>
      </w:pPr>
      <w:proofErr w:type="spellStart"/>
      <w:r w:rsidRPr="008E3910">
        <w:rPr>
          <w:rFonts w:asciiTheme="majorHAnsi" w:hAnsiTheme="majorHAnsi" w:cstheme="majorHAnsi"/>
        </w:rPr>
        <w:t>Výrobky</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společnosti</w:t>
      </w:r>
      <w:proofErr w:type="spellEnd"/>
      <w:r w:rsidRPr="008E3910">
        <w:rPr>
          <w:rFonts w:asciiTheme="majorHAnsi" w:hAnsiTheme="majorHAnsi" w:cstheme="majorHAnsi"/>
        </w:rPr>
        <w:t xml:space="preserve"> GE Healthcare za </w:t>
      </w:r>
      <w:proofErr w:type="spellStart"/>
      <w:r w:rsidRPr="008E3910">
        <w:rPr>
          <w:rFonts w:asciiTheme="majorHAnsi" w:hAnsiTheme="majorHAnsi" w:cstheme="majorHAnsi"/>
        </w:rPr>
        <w:t>normálních</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podmínek</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záměrně</w:t>
      </w:r>
      <w:proofErr w:type="spellEnd"/>
      <w:r w:rsidRPr="008E3910">
        <w:rPr>
          <w:rFonts w:asciiTheme="majorHAnsi" w:hAnsiTheme="majorHAnsi" w:cstheme="majorHAnsi"/>
        </w:rPr>
        <w:t xml:space="preserve"> </w:t>
      </w:r>
      <w:proofErr w:type="spellStart"/>
      <w:proofErr w:type="gramStart"/>
      <w:r w:rsidRPr="008E3910">
        <w:rPr>
          <w:rFonts w:asciiTheme="majorHAnsi" w:hAnsiTheme="majorHAnsi" w:cstheme="majorHAnsi"/>
        </w:rPr>
        <w:t>neuvolňují</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tyto</w:t>
      </w:r>
      <w:proofErr w:type="spellEnd"/>
      <w:proofErr w:type="gramEnd"/>
      <w:r w:rsidRPr="008E3910">
        <w:rPr>
          <w:rFonts w:asciiTheme="majorHAnsi" w:hAnsiTheme="majorHAnsi" w:cstheme="majorHAnsi"/>
        </w:rPr>
        <w:t xml:space="preserve"> </w:t>
      </w:r>
      <w:proofErr w:type="spellStart"/>
      <w:r w:rsidRPr="008E3910">
        <w:rPr>
          <w:rFonts w:asciiTheme="majorHAnsi" w:hAnsiTheme="majorHAnsi" w:cstheme="majorHAnsi"/>
        </w:rPr>
        <w:t>látky</w:t>
      </w:r>
      <w:proofErr w:type="spellEnd"/>
      <w:r w:rsidRPr="008E3910">
        <w:rPr>
          <w:rFonts w:asciiTheme="majorHAnsi" w:hAnsiTheme="majorHAnsi" w:cstheme="majorHAnsi"/>
        </w:rPr>
        <w:t xml:space="preserve">. </w:t>
      </w:r>
    </w:p>
    <w:p w14:paraId="6AFC42FA" w14:textId="25739506" w:rsidR="001D2DAA" w:rsidRPr="008E3910" w:rsidRDefault="00DE06BF" w:rsidP="008E3910">
      <w:pPr>
        <w:spacing w:after="0"/>
        <w:jc w:val="both"/>
        <w:rPr>
          <w:rFonts w:asciiTheme="majorHAnsi" w:hAnsiTheme="majorHAnsi" w:cstheme="majorHAnsi"/>
        </w:rPr>
      </w:pPr>
      <w:r w:rsidRPr="008E3910">
        <w:rPr>
          <w:rFonts w:asciiTheme="majorHAnsi" w:hAnsiTheme="majorHAnsi" w:cstheme="majorHAnsi"/>
        </w:rPr>
        <w:t xml:space="preserve">Na </w:t>
      </w:r>
      <w:proofErr w:type="spellStart"/>
      <w:r w:rsidRPr="008E3910">
        <w:rPr>
          <w:rFonts w:asciiTheme="majorHAnsi" w:hAnsiTheme="majorHAnsi" w:cstheme="majorHAnsi"/>
        </w:rPr>
        <w:t>základě</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informací</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od</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našich</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dodavatelů</w:t>
      </w:r>
      <w:proofErr w:type="spellEnd"/>
      <w:r w:rsidRPr="008E3910">
        <w:rPr>
          <w:rFonts w:asciiTheme="majorHAnsi" w:hAnsiTheme="majorHAnsi" w:cstheme="majorHAnsi"/>
        </w:rPr>
        <w:t xml:space="preserve"> k </w:t>
      </w:r>
      <w:proofErr w:type="spellStart"/>
      <w:r w:rsidRPr="008E3910">
        <w:rPr>
          <w:rFonts w:asciiTheme="majorHAnsi" w:hAnsiTheme="majorHAnsi" w:cstheme="majorHAnsi"/>
        </w:rPr>
        <w:t>dnešnímu</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dni</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jsou</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tyto</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látky</w:t>
      </w:r>
      <w:proofErr w:type="spellEnd"/>
      <w:r w:rsidRPr="008E3910">
        <w:rPr>
          <w:rFonts w:asciiTheme="majorHAnsi" w:hAnsiTheme="majorHAnsi" w:cstheme="majorHAnsi"/>
        </w:rPr>
        <w:t xml:space="preserve"> v </w:t>
      </w:r>
      <w:proofErr w:type="spellStart"/>
      <w:r w:rsidRPr="008E3910">
        <w:rPr>
          <w:rFonts w:asciiTheme="majorHAnsi" w:hAnsiTheme="majorHAnsi" w:cstheme="majorHAnsi"/>
        </w:rPr>
        <w:t>následujících</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produktech</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obsaženy</w:t>
      </w:r>
      <w:proofErr w:type="spellEnd"/>
      <w:r w:rsidRPr="008E3910">
        <w:rPr>
          <w:rFonts w:asciiTheme="majorHAnsi" w:hAnsiTheme="majorHAnsi" w:cstheme="majorHAnsi"/>
        </w:rPr>
        <w:t xml:space="preserve"> v </w:t>
      </w:r>
      <w:proofErr w:type="spellStart"/>
      <w:r w:rsidRPr="008E3910">
        <w:rPr>
          <w:rFonts w:asciiTheme="majorHAnsi" w:hAnsiTheme="majorHAnsi" w:cstheme="majorHAnsi"/>
        </w:rPr>
        <w:t>koncentraci</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která</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může</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být</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vyšší</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než</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prahová</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hodnota</w:t>
      </w:r>
      <w:proofErr w:type="spellEnd"/>
      <w:r w:rsidRPr="008E3910">
        <w:rPr>
          <w:rFonts w:asciiTheme="majorHAnsi" w:hAnsiTheme="majorHAnsi" w:cstheme="majorHAnsi"/>
        </w:rPr>
        <w:t xml:space="preserve"> 0,1 % (</w:t>
      </w:r>
      <w:proofErr w:type="spellStart"/>
      <w:r w:rsidRPr="008E3910">
        <w:rPr>
          <w:rFonts w:asciiTheme="majorHAnsi" w:hAnsiTheme="majorHAnsi" w:cstheme="majorHAnsi"/>
        </w:rPr>
        <w:t>hmotnostního</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poměru</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na</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úrovni</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jednotlivého</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produktu</w:t>
      </w:r>
      <w:proofErr w:type="spellEnd"/>
      <w:r w:rsidRPr="008E3910">
        <w:rPr>
          <w:rFonts w:asciiTheme="majorHAnsi" w:hAnsiTheme="majorHAnsi" w:cstheme="majorHAnsi"/>
        </w:rPr>
        <w:t>:</w:t>
      </w:r>
    </w:p>
    <w:p w14:paraId="6AA253CC" w14:textId="77777777" w:rsidR="001D2DAA" w:rsidRPr="006706BE" w:rsidRDefault="001D2DAA" w:rsidP="001D2DAA">
      <w:pPr>
        <w:rPr>
          <w:rFonts w:asciiTheme="majorHAnsi" w:hAnsiTheme="majorHAnsi" w:cstheme="majorHAnsi"/>
          <w:color w:val="ED7D31" w:themeColor="accent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287034F8" w14:textId="77777777" w:rsidTr="00636C30">
        <w:trPr>
          <w:trHeight w:val="290"/>
        </w:trPr>
        <w:tc>
          <w:tcPr>
            <w:tcW w:w="1413" w:type="dxa"/>
            <w:noWrap/>
          </w:tcPr>
          <w:p w14:paraId="7075B75C" w14:textId="77777777" w:rsidR="001D2DAA" w:rsidRPr="008E3910" w:rsidRDefault="009B4CB2" w:rsidP="005A2C7D">
            <w:pPr>
              <w:spacing w:after="0" w:line="240" w:lineRule="auto"/>
              <w:rPr>
                <w:rFonts w:asciiTheme="majorHAnsi" w:hAnsiTheme="majorHAnsi" w:cstheme="majorHAnsi"/>
                <w:b/>
                <w:bCs/>
              </w:rPr>
            </w:pPr>
            <w:proofErr w:type="spellStart"/>
            <w:r w:rsidRPr="008E3910">
              <w:rPr>
                <w:rFonts w:asciiTheme="majorHAnsi" w:hAnsiTheme="majorHAnsi" w:cstheme="majorHAnsi"/>
                <w:b/>
                <w:bCs/>
              </w:rPr>
              <w:t>Název</w:t>
            </w:r>
            <w:proofErr w:type="spellEnd"/>
            <w:r w:rsidRPr="008E3910">
              <w:rPr>
                <w:rFonts w:asciiTheme="majorHAnsi" w:hAnsiTheme="majorHAnsi" w:cstheme="majorHAnsi"/>
                <w:b/>
                <w:bCs/>
              </w:rPr>
              <w:t xml:space="preserve"> </w:t>
            </w:r>
            <w:proofErr w:type="spellStart"/>
            <w:r w:rsidRPr="008E3910">
              <w:rPr>
                <w:rFonts w:asciiTheme="majorHAnsi" w:hAnsiTheme="majorHAnsi" w:cstheme="majorHAnsi"/>
                <w:b/>
                <w:bCs/>
              </w:rPr>
              <w:t>produktu</w:t>
            </w:r>
            <w:proofErr w:type="spellEnd"/>
          </w:p>
        </w:tc>
        <w:tc>
          <w:tcPr>
            <w:tcW w:w="5953" w:type="dxa"/>
          </w:tcPr>
          <w:p w14:paraId="6F084718" w14:textId="77777777" w:rsidR="001D2DAA" w:rsidRPr="008E3910" w:rsidRDefault="009B4CB2" w:rsidP="005A2C7D">
            <w:pPr>
              <w:spacing w:after="0" w:line="240" w:lineRule="auto"/>
              <w:rPr>
                <w:rFonts w:asciiTheme="majorHAnsi" w:hAnsiTheme="majorHAnsi" w:cstheme="majorHAnsi"/>
                <w:b/>
                <w:bCs/>
              </w:rPr>
            </w:pPr>
            <w:proofErr w:type="spellStart"/>
            <w:r w:rsidRPr="008E3910">
              <w:rPr>
                <w:rFonts w:asciiTheme="majorHAnsi" w:hAnsiTheme="majorHAnsi" w:cstheme="majorHAnsi"/>
                <w:b/>
                <w:bCs/>
              </w:rPr>
              <w:t>Název</w:t>
            </w:r>
            <w:proofErr w:type="spellEnd"/>
            <w:r w:rsidRPr="008E3910">
              <w:rPr>
                <w:rFonts w:asciiTheme="majorHAnsi" w:hAnsiTheme="majorHAnsi" w:cstheme="majorHAnsi"/>
                <w:b/>
                <w:bCs/>
              </w:rPr>
              <w:t xml:space="preserve"> </w:t>
            </w:r>
            <w:proofErr w:type="spellStart"/>
            <w:r w:rsidRPr="008E3910">
              <w:rPr>
                <w:rFonts w:asciiTheme="majorHAnsi" w:hAnsiTheme="majorHAnsi" w:cstheme="majorHAnsi"/>
                <w:b/>
                <w:bCs/>
              </w:rPr>
              <w:t>látky</w:t>
            </w:r>
            <w:proofErr w:type="spellEnd"/>
          </w:p>
        </w:tc>
        <w:tc>
          <w:tcPr>
            <w:tcW w:w="1696" w:type="dxa"/>
          </w:tcPr>
          <w:p w14:paraId="2B9C5B88" w14:textId="77777777" w:rsidR="001D2DAA" w:rsidRPr="008E3910" w:rsidRDefault="009B4CB2" w:rsidP="005A2C7D">
            <w:pPr>
              <w:spacing w:after="0" w:line="240" w:lineRule="auto"/>
              <w:rPr>
                <w:rFonts w:asciiTheme="majorHAnsi" w:hAnsiTheme="majorHAnsi" w:cstheme="majorHAnsi"/>
                <w:b/>
                <w:bCs/>
                <w:lang w:val="fr-FR"/>
              </w:rPr>
            </w:pPr>
            <w:r w:rsidRPr="008E3910">
              <w:rPr>
                <w:rFonts w:asciiTheme="majorHAnsi" w:hAnsiTheme="majorHAnsi" w:cstheme="majorHAnsi"/>
                <w:b/>
                <w:bCs/>
                <w:lang w:val="fr-FR"/>
              </w:rPr>
              <w:t>Č. CAS</w:t>
            </w:r>
          </w:p>
        </w:tc>
      </w:tr>
      <w:tr w:rsidR="00A751C7" w:rsidRPr="00B93A55" w14:paraId="1BFBD793" w14:textId="77777777" w:rsidTr="003E41E7">
        <w:trPr>
          <w:trHeight w:val="290"/>
        </w:trPr>
        <w:tc>
          <w:tcPr>
            <w:tcW w:w="9062" w:type="dxa"/>
            <w:gridSpan w:val="3"/>
            <w:noWrap/>
          </w:tcPr>
          <w:p w14:paraId="18915F25"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0559035C" w14:textId="77777777" w:rsidTr="003E41E7">
        <w:trPr>
          <w:trHeight w:val="290"/>
        </w:trPr>
        <w:tc>
          <w:tcPr>
            <w:tcW w:w="1413" w:type="dxa"/>
            <w:noWrap/>
            <w:hideMark/>
          </w:tcPr>
          <w:p w14:paraId="2789E0AB"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6F7CD7C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36F27C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A564E4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C05776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8C23EB9"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2EED21A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A31442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F10A4B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C8C202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6BA54EF"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7FF818F" w14:textId="77777777" w:rsidTr="003E41E7">
        <w:trPr>
          <w:trHeight w:val="1448"/>
        </w:trPr>
        <w:tc>
          <w:tcPr>
            <w:tcW w:w="1413" w:type="dxa"/>
            <w:noWrap/>
            <w:hideMark/>
          </w:tcPr>
          <w:p w14:paraId="42E28C2E"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08289D8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930DFB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3038A3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9D9F07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8EADD92"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654320C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B4E2E9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15D3F3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14E6F2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90B0D0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9D6EB69" w14:textId="77777777" w:rsidTr="003E41E7">
        <w:trPr>
          <w:trHeight w:val="290"/>
        </w:trPr>
        <w:tc>
          <w:tcPr>
            <w:tcW w:w="1413" w:type="dxa"/>
            <w:noWrap/>
            <w:hideMark/>
          </w:tcPr>
          <w:p w14:paraId="301A37BF"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78D96A5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7D137D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05706F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5B435B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D7D4F1F"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5B51477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82F1C4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25BF82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D4ACFE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A16701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2D85B27F" w14:textId="77777777" w:rsidTr="003E41E7">
        <w:trPr>
          <w:trHeight w:val="290"/>
        </w:trPr>
        <w:tc>
          <w:tcPr>
            <w:tcW w:w="9062" w:type="dxa"/>
            <w:gridSpan w:val="3"/>
            <w:noWrap/>
          </w:tcPr>
          <w:p w14:paraId="5511F8E1"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475F6B79"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D1D750B"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6E202F1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3BA739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2F2698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8C69CC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67893F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AD18B9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3E56C1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3714DD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CC4A2A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EA191B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57287E8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2AAED14"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6255F63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6D3E05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953530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CA6494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256190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C0B4C0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86FA51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E1E595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D558E6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646048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E492826"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78B699F"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4A5FCB6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80B3C0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20AE44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6E4952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A3A70F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F0DEE8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485AA9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6EEE12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540CE7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23D8CA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2C04A415"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679618F6"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0448896F"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6DCD28A9"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729DC437"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297D76AE"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4D3EBF10"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B349815"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2BBB6494"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4F0E3A7C"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6FE69424"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7BCE14E6"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25005C9E"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49177C17"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5242DAD0"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19EDE035"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55BF1DA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FE2808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F6A104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2FFBEC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8468E3E"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65CBB1F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527761F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8F5352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20470B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F64A64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34C8395"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3960D11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589759B7"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69D14DE1"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1DA5954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45D2EF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5DEC57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E495D7D"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F944B4B"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17194FA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11126C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A09CF8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56C289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15E16ED"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1A2557F"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6BB6A2F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2525F99F"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15995ED"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24D973C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53B422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D64C59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DFD881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25A26A8"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4789C84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0BD5566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260D55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7E4F9E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6537BC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BBFE32D"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2B7AE81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2CF4FCFF" w14:textId="77777777" w:rsidR="00636C30" w:rsidRDefault="00636C30" w:rsidP="00636C30">
      <w:pPr>
        <w:rPr>
          <w:rFonts w:asciiTheme="majorHAnsi" w:hAnsiTheme="majorHAnsi" w:cstheme="majorHAnsi"/>
        </w:rPr>
      </w:pPr>
    </w:p>
    <w:p w14:paraId="7552346B" w14:textId="77777777" w:rsidR="001D2DAA" w:rsidRDefault="001D2DAA" w:rsidP="001D2DAA">
      <w:pPr>
        <w:rPr>
          <w:rFonts w:asciiTheme="majorHAnsi" w:hAnsiTheme="majorHAnsi" w:cstheme="majorHAnsi"/>
        </w:rPr>
      </w:pPr>
    </w:p>
    <w:p w14:paraId="6DB1E102" w14:textId="77777777" w:rsidR="001D2DAA" w:rsidRDefault="001D2DAA" w:rsidP="001D2DAA">
      <w:pPr>
        <w:rPr>
          <w:rFonts w:asciiTheme="majorHAnsi" w:hAnsiTheme="majorHAnsi" w:cstheme="majorHAnsi"/>
        </w:rPr>
      </w:pPr>
      <w:r>
        <w:rPr>
          <w:rFonts w:asciiTheme="majorHAnsi" w:hAnsiTheme="majorHAnsi" w:cstheme="majorHAnsi"/>
        </w:rPr>
        <w:br w:type="page"/>
      </w:r>
    </w:p>
    <w:p w14:paraId="7F47097A"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63437A90"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2EC1E039"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5EC3B27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14A33FB4"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55CF8B25"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1619F178"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7C515910"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57D2BE29"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4AD614C5"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11E7964C"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7C7D9515"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78CD3EA9"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74E9D94B"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4A4214D9"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64269362"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36F10C8A"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175AC7CC" w14:textId="77777777" w:rsidR="001D2DAA" w:rsidRPr="00977090" w:rsidRDefault="001D2DAA" w:rsidP="001D2DAA">
      <w:pPr>
        <w:pStyle w:val="Default"/>
        <w:rPr>
          <w:rFonts w:asciiTheme="majorHAnsi" w:hAnsiTheme="majorHAnsi" w:cstheme="majorHAnsi"/>
          <w:color w:val="auto"/>
          <w:sz w:val="22"/>
          <w:szCs w:val="22"/>
        </w:rPr>
      </w:pPr>
    </w:p>
    <w:p w14:paraId="10AFA771" w14:textId="77777777" w:rsidR="00A72A62" w:rsidRPr="008E3910" w:rsidRDefault="00A72A62" w:rsidP="008E3910">
      <w:pPr>
        <w:spacing w:after="0"/>
        <w:jc w:val="both"/>
        <w:rPr>
          <w:rFonts w:asciiTheme="majorHAnsi" w:hAnsiTheme="majorHAnsi" w:cstheme="majorHAnsi"/>
          <w:lang w:val="es-ES"/>
        </w:rPr>
      </w:pPr>
      <w:r w:rsidRPr="008E3910">
        <w:rPr>
          <w:rFonts w:asciiTheme="majorHAnsi" w:hAnsiTheme="majorHAnsi" w:cstheme="majorHAnsi"/>
          <w:lang w:val="es-ES"/>
        </w:rPr>
        <w:t xml:space="preserve">GE Healthcare trabaja con sus proveedores para garantizar el cumplimiento del reglamento REACH (CE n.º 1907/2006), artículo 33, en artículos importados o fabricados dentro de la Unión Europea sujetos a dicho reglamento y que se utilicen en la producción de productos de GE Healthcare. </w:t>
      </w:r>
    </w:p>
    <w:p w14:paraId="3DB754B8" w14:textId="77777777" w:rsidR="00A72A62" w:rsidRPr="008E3910" w:rsidRDefault="00A72A62" w:rsidP="008E3910">
      <w:pPr>
        <w:spacing w:after="0"/>
        <w:jc w:val="both"/>
        <w:rPr>
          <w:rFonts w:asciiTheme="majorHAnsi" w:hAnsiTheme="majorHAnsi" w:cstheme="majorHAnsi"/>
          <w:lang w:val="es-ES"/>
        </w:rPr>
      </w:pPr>
      <w:r w:rsidRPr="008E3910">
        <w:rPr>
          <w:rFonts w:asciiTheme="majorHAnsi" w:hAnsiTheme="majorHAnsi" w:cstheme="majorHAnsi"/>
          <w:lang w:val="es-ES"/>
        </w:rPr>
        <w:t xml:space="preserve">En relación con la aplicación del artículo 33 del reglamento REACH y la publicación de la lista de sustancias candidatas extremadamente preocupantes (SEP) de acuerdo con el artículo 59 del reglamento REACH, GE Healthcare está al tanto de sus obligaciones legales y las cumple. </w:t>
      </w:r>
    </w:p>
    <w:p w14:paraId="3D39F94D" w14:textId="6C7E37C5" w:rsidR="00A72A62" w:rsidRPr="008E3910" w:rsidRDefault="00A72A62" w:rsidP="008E3910">
      <w:pPr>
        <w:spacing w:after="0"/>
        <w:jc w:val="both"/>
        <w:rPr>
          <w:rFonts w:asciiTheme="majorHAnsi" w:hAnsiTheme="majorHAnsi" w:cstheme="majorHAnsi"/>
          <w:lang w:val="es-ES"/>
        </w:rPr>
      </w:pPr>
      <w:r w:rsidRPr="008E3910">
        <w:rPr>
          <w:rFonts w:asciiTheme="majorHAnsi" w:hAnsiTheme="majorHAnsi" w:cstheme="majorHAnsi"/>
          <w:lang w:val="es-ES"/>
        </w:rPr>
        <w:t xml:space="preserve">Los artículos de GE Healthcare no "liberan intencionalmente" sustancias en condiciones normales de uso. </w:t>
      </w:r>
    </w:p>
    <w:p w14:paraId="741DCC5F" w14:textId="55A38DD5" w:rsidR="001D2DAA" w:rsidRPr="008E3910" w:rsidRDefault="00DE06BF" w:rsidP="008E3910">
      <w:pPr>
        <w:spacing w:after="0"/>
        <w:jc w:val="both"/>
        <w:rPr>
          <w:rFonts w:asciiTheme="majorHAnsi" w:hAnsiTheme="majorHAnsi" w:cstheme="majorHAnsi"/>
          <w:lang w:val="es-ES"/>
        </w:rPr>
      </w:pPr>
      <w:r w:rsidRPr="008E3910">
        <w:rPr>
          <w:rFonts w:asciiTheme="majorHAnsi" w:hAnsiTheme="majorHAnsi" w:cstheme="majorHAnsi"/>
          <w:lang w:val="es-ES"/>
        </w:rPr>
        <w:t>Sobre la base de la información de nuestros proveedores hasta la fecha, estas sustancias están presentes en los siguientes productos con una concentración que puede ser mayor que el umbral del 0,1 % (w/w) en peso a nivel del artículo:</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24A25942" w14:textId="77777777" w:rsidTr="00636C30">
        <w:trPr>
          <w:trHeight w:val="290"/>
        </w:trPr>
        <w:tc>
          <w:tcPr>
            <w:tcW w:w="1413" w:type="dxa"/>
            <w:noWrap/>
          </w:tcPr>
          <w:p w14:paraId="36364AB4" w14:textId="77777777" w:rsidR="001D2DAA" w:rsidRPr="008E3910" w:rsidRDefault="00755227" w:rsidP="005A2C7D">
            <w:pPr>
              <w:spacing w:after="0" w:line="240" w:lineRule="auto"/>
              <w:rPr>
                <w:rFonts w:asciiTheme="majorHAnsi" w:hAnsiTheme="majorHAnsi" w:cstheme="majorHAnsi"/>
                <w:b/>
                <w:bCs/>
              </w:rPr>
            </w:pPr>
            <w:proofErr w:type="spellStart"/>
            <w:r w:rsidRPr="008E3910">
              <w:rPr>
                <w:rFonts w:asciiTheme="majorHAnsi" w:hAnsiTheme="majorHAnsi" w:cstheme="majorHAnsi"/>
                <w:b/>
                <w:bCs/>
              </w:rPr>
              <w:t>Nombre</w:t>
            </w:r>
            <w:proofErr w:type="spellEnd"/>
            <w:r w:rsidRPr="008E3910">
              <w:rPr>
                <w:rFonts w:asciiTheme="majorHAnsi" w:hAnsiTheme="majorHAnsi" w:cstheme="majorHAnsi"/>
                <w:b/>
                <w:bCs/>
              </w:rPr>
              <w:t xml:space="preserve"> del </w:t>
            </w:r>
            <w:proofErr w:type="spellStart"/>
            <w:r w:rsidRPr="008E3910">
              <w:rPr>
                <w:rFonts w:asciiTheme="majorHAnsi" w:hAnsiTheme="majorHAnsi" w:cstheme="majorHAnsi"/>
                <w:b/>
                <w:bCs/>
              </w:rPr>
              <w:t>producto</w:t>
            </w:r>
            <w:proofErr w:type="spellEnd"/>
          </w:p>
        </w:tc>
        <w:tc>
          <w:tcPr>
            <w:tcW w:w="5953" w:type="dxa"/>
          </w:tcPr>
          <w:p w14:paraId="5BDCAE56" w14:textId="77777777" w:rsidR="001D2DAA" w:rsidRPr="008E3910" w:rsidRDefault="00755227" w:rsidP="005A2C7D">
            <w:pPr>
              <w:spacing w:after="0" w:line="240" w:lineRule="auto"/>
              <w:rPr>
                <w:rFonts w:asciiTheme="majorHAnsi" w:hAnsiTheme="majorHAnsi" w:cstheme="majorHAnsi"/>
                <w:b/>
                <w:bCs/>
              </w:rPr>
            </w:pPr>
            <w:proofErr w:type="spellStart"/>
            <w:r w:rsidRPr="008E3910">
              <w:rPr>
                <w:rFonts w:asciiTheme="majorHAnsi" w:hAnsiTheme="majorHAnsi" w:cstheme="majorHAnsi"/>
                <w:b/>
                <w:bCs/>
              </w:rPr>
              <w:t>Nombre</w:t>
            </w:r>
            <w:proofErr w:type="spellEnd"/>
            <w:r w:rsidRPr="008E3910">
              <w:rPr>
                <w:rFonts w:asciiTheme="majorHAnsi" w:hAnsiTheme="majorHAnsi" w:cstheme="majorHAnsi"/>
                <w:b/>
                <w:bCs/>
              </w:rPr>
              <w:t xml:space="preserve"> de la </w:t>
            </w:r>
            <w:proofErr w:type="spellStart"/>
            <w:r w:rsidRPr="008E3910">
              <w:rPr>
                <w:rFonts w:asciiTheme="majorHAnsi" w:hAnsiTheme="majorHAnsi" w:cstheme="majorHAnsi"/>
                <w:b/>
                <w:bCs/>
              </w:rPr>
              <w:t>sustancia</w:t>
            </w:r>
            <w:proofErr w:type="spellEnd"/>
          </w:p>
        </w:tc>
        <w:tc>
          <w:tcPr>
            <w:tcW w:w="1696" w:type="dxa"/>
          </w:tcPr>
          <w:p w14:paraId="3C18F601" w14:textId="77777777" w:rsidR="001D2DAA" w:rsidRPr="008E3910" w:rsidRDefault="00755227" w:rsidP="005A2C7D">
            <w:pPr>
              <w:spacing w:after="0" w:line="240" w:lineRule="auto"/>
              <w:rPr>
                <w:rFonts w:asciiTheme="majorHAnsi" w:hAnsiTheme="majorHAnsi" w:cstheme="majorHAnsi"/>
                <w:b/>
                <w:bCs/>
                <w:lang w:val="fr-FR"/>
              </w:rPr>
            </w:pPr>
            <w:proofErr w:type="spellStart"/>
            <w:proofErr w:type="gramStart"/>
            <w:r w:rsidRPr="008E3910">
              <w:rPr>
                <w:rFonts w:asciiTheme="majorHAnsi" w:hAnsiTheme="majorHAnsi" w:cstheme="majorHAnsi"/>
                <w:b/>
                <w:bCs/>
                <w:lang w:val="fr-FR"/>
              </w:rPr>
              <w:t>número</w:t>
            </w:r>
            <w:proofErr w:type="spellEnd"/>
            <w:proofErr w:type="gramEnd"/>
            <w:r w:rsidRPr="008E3910">
              <w:rPr>
                <w:rFonts w:asciiTheme="majorHAnsi" w:hAnsiTheme="majorHAnsi" w:cstheme="majorHAnsi"/>
                <w:b/>
                <w:bCs/>
                <w:lang w:val="fr-FR"/>
              </w:rPr>
              <w:t xml:space="preserve"> CAS.</w:t>
            </w:r>
          </w:p>
        </w:tc>
      </w:tr>
      <w:tr w:rsidR="00A751C7" w:rsidRPr="00B93A55" w14:paraId="5F8BD747" w14:textId="77777777" w:rsidTr="003E41E7">
        <w:trPr>
          <w:trHeight w:val="290"/>
        </w:trPr>
        <w:tc>
          <w:tcPr>
            <w:tcW w:w="9062" w:type="dxa"/>
            <w:gridSpan w:val="3"/>
            <w:noWrap/>
          </w:tcPr>
          <w:p w14:paraId="1CF0DE46"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73E2DDC9" w14:textId="77777777" w:rsidTr="003E41E7">
        <w:trPr>
          <w:trHeight w:val="290"/>
        </w:trPr>
        <w:tc>
          <w:tcPr>
            <w:tcW w:w="1413" w:type="dxa"/>
            <w:noWrap/>
            <w:hideMark/>
          </w:tcPr>
          <w:p w14:paraId="12CEB34F"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1EC1A27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05833F2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71A4EF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753985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D0745AD"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6B08C70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AC9295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243025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FBD650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FD97178"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7D516CA" w14:textId="77777777" w:rsidTr="003E41E7">
        <w:trPr>
          <w:trHeight w:val="1448"/>
        </w:trPr>
        <w:tc>
          <w:tcPr>
            <w:tcW w:w="1413" w:type="dxa"/>
            <w:noWrap/>
            <w:hideMark/>
          </w:tcPr>
          <w:p w14:paraId="61635603"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3AE7A3C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383F33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815AB7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25EE59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D99CB83"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3021204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01E02CC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022476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E19F8F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571BFB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F30C5A2" w14:textId="77777777" w:rsidTr="003E41E7">
        <w:trPr>
          <w:trHeight w:val="290"/>
        </w:trPr>
        <w:tc>
          <w:tcPr>
            <w:tcW w:w="1413" w:type="dxa"/>
            <w:noWrap/>
            <w:hideMark/>
          </w:tcPr>
          <w:p w14:paraId="54D82384"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02D75A8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AB8527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C3FA6C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0ECDB3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9A34B36"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48893C3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3D815D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3CBEA9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0F2C5B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C98062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23424EEF" w14:textId="77777777" w:rsidTr="003E41E7">
        <w:trPr>
          <w:trHeight w:val="290"/>
        </w:trPr>
        <w:tc>
          <w:tcPr>
            <w:tcW w:w="9062" w:type="dxa"/>
            <w:gridSpan w:val="3"/>
            <w:noWrap/>
          </w:tcPr>
          <w:p w14:paraId="1D1AABEC"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4B51C6AD"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1DAE444"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0573DC7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8DCCFC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A1C521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B8566A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7BF5CD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359BE4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4E6AF7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0E769F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8D8DF8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303293D"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6F449FAD"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1B3FB98F"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76BE6D3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02703DF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705A05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DE6111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E2B63A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019A902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199E30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7A6F40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AECCB9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94BE2B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038E8DF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6AEA7F5"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656E426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1F793C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1EC67D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558B8A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7B11A8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052FBB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A906DE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1D62F5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0E3A57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85016FD"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4ED2A3D1"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0EE96DCA"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2C259A2D"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3998883D"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2BAF6879"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0347BB68"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71ED4943"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720904B"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774C6EE0"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4A467B37"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0CF1BFEE"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315CC3DC"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0A28B833"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01E35B0D"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58A836DF"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72F3207"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489F1B8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AF041F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E20845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081D9FF"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094BDB0"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453DEFA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42027B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0A0AB5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ED9046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68C1780"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76E6909"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51C0487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62C605E3"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84DF3B6"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718B59C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09FFAD7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0AD77A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9D3427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8A8B28F"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4AD6D2B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E5DB9B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CAADDD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20DC06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49AD87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36FAED7"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2E9344E0"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520A7BC4"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61DCBE5D"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6C7FDB0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0001EB2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4A6910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516A849"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142F20E"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704CCE6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D969AD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5BFBD2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7C8ECE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234D19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F59D491"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743C8D6D"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2CDC3F48" w14:textId="77777777" w:rsidR="00636C30" w:rsidRDefault="00636C30" w:rsidP="00636C30">
      <w:pPr>
        <w:rPr>
          <w:rFonts w:asciiTheme="majorHAnsi" w:hAnsiTheme="majorHAnsi" w:cstheme="majorHAnsi"/>
        </w:rPr>
      </w:pPr>
    </w:p>
    <w:p w14:paraId="472E1CDC" w14:textId="77777777" w:rsidR="001D2DAA" w:rsidRDefault="001D2DAA" w:rsidP="001D2DAA">
      <w:pPr>
        <w:rPr>
          <w:rFonts w:asciiTheme="majorHAnsi" w:hAnsiTheme="majorHAnsi" w:cstheme="majorHAnsi"/>
        </w:rPr>
      </w:pPr>
    </w:p>
    <w:p w14:paraId="4F160E78" w14:textId="77777777" w:rsidR="001D2DAA" w:rsidRDefault="001D2DAA" w:rsidP="001D2DAA">
      <w:pPr>
        <w:rPr>
          <w:rFonts w:asciiTheme="majorHAnsi" w:hAnsiTheme="majorHAnsi" w:cstheme="majorHAnsi"/>
        </w:rPr>
      </w:pPr>
      <w:r>
        <w:rPr>
          <w:rFonts w:asciiTheme="majorHAnsi" w:hAnsiTheme="majorHAnsi" w:cstheme="majorHAnsi"/>
        </w:rPr>
        <w:br w:type="page"/>
      </w:r>
    </w:p>
    <w:p w14:paraId="72A6B1D8"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00018D67"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569A6B7A"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7D1A16F6"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6CEFDBCB"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48CFE179"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6A09B9FE"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123139B7"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057FDF4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15A63AD5"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252BB727"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191E085F"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3033D6A4"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4FBE18E9"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4ACE797C"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6E1777E4"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155F4A9C"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0C094CFD" w14:textId="77777777" w:rsidR="001D2DAA" w:rsidRPr="00977090" w:rsidRDefault="001D2DAA" w:rsidP="001D2DAA">
      <w:pPr>
        <w:pStyle w:val="Default"/>
        <w:rPr>
          <w:rFonts w:asciiTheme="majorHAnsi" w:hAnsiTheme="majorHAnsi" w:cstheme="majorHAnsi"/>
          <w:color w:val="auto"/>
          <w:sz w:val="22"/>
          <w:szCs w:val="22"/>
        </w:rPr>
      </w:pPr>
    </w:p>
    <w:p w14:paraId="5BDB34BD" w14:textId="77777777" w:rsidR="00FA5F8A" w:rsidRPr="008E3910" w:rsidRDefault="00FA5F8A" w:rsidP="008E3910">
      <w:pPr>
        <w:spacing w:after="0"/>
        <w:jc w:val="both"/>
        <w:rPr>
          <w:rFonts w:asciiTheme="majorHAnsi" w:hAnsiTheme="majorHAnsi" w:cstheme="majorHAnsi"/>
          <w:lang w:val="da-DK"/>
        </w:rPr>
      </w:pPr>
      <w:r w:rsidRPr="008E3910">
        <w:rPr>
          <w:rFonts w:asciiTheme="majorHAnsi" w:hAnsiTheme="majorHAnsi" w:cstheme="majorHAnsi"/>
          <w:lang w:val="da-DK"/>
        </w:rPr>
        <w:t xml:space="preserve">GE Healthcare samarbejder med sine leverandører for at sikre overensstemmelse af artikler, der er importeret eller fremstillet inden for EU, som er underlagt REACH-forordningen (EF nr. 1907/2006), artikel 33, og som anvendes i produktionen af GE Healthcare-produkter. </w:t>
      </w:r>
    </w:p>
    <w:p w14:paraId="038324A9" w14:textId="77777777" w:rsidR="00FA5F8A" w:rsidRPr="008E3910" w:rsidRDefault="00FA5F8A" w:rsidP="008E3910">
      <w:pPr>
        <w:spacing w:after="0"/>
        <w:jc w:val="both"/>
        <w:rPr>
          <w:rFonts w:asciiTheme="majorHAnsi" w:hAnsiTheme="majorHAnsi" w:cstheme="majorHAnsi"/>
          <w:lang w:val="da-DK"/>
        </w:rPr>
      </w:pPr>
      <w:r w:rsidRPr="008E3910">
        <w:rPr>
          <w:rFonts w:asciiTheme="majorHAnsi" w:hAnsiTheme="majorHAnsi" w:cstheme="majorHAnsi"/>
          <w:lang w:val="da-DK"/>
        </w:rPr>
        <w:t xml:space="preserve">Med hensyn til anvendelsen af artikel 33 i REACH-forordningen og offentliggørelsen af kandidatlisten over særligt farlige stoffer (SVHC) i henhold til artikel 59 i REACH-forordningen er GE Healthcare bekendt med sine juridiske forpligtelser og vil overholde dem. </w:t>
      </w:r>
    </w:p>
    <w:p w14:paraId="59220D62" w14:textId="2BA11C57" w:rsidR="00FA5F8A" w:rsidRPr="008E3910" w:rsidRDefault="00FA5F8A" w:rsidP="008E3910">
      <w:pPr>
        <w:spacing w:after="0"/>
        <w:jc w:val="both"/>
        <w:rPr>
          <w:rFonts w:asciiTheme="majorHAnsi" w:hAnsiTheme="majorHAnsi" w:cstheme="majorHAnsi"/>
          <w:lang w:val="da-DK"/>
        </w:rPr>
      </w:pPr>
      <w:r w:rsidRPr="008E3910">
        <w:rPr>
          <w:rFonts w:asciiTheme="majorHAnsi" w:hAnsiTheme="majorHAnsi" w:cstheme="majorHAnsi"/>
          <w:lang w:val="da-DK"/>
        </w:rPr>
        <w:t xml:space="preserve">GE Healthcare-artikler "frigiver ikke tilsigtet" stoffer under normale brugsforhold. </w:t>
      </w:r>
    </w:p>
    <w:p w14:paraId="0A6845F7" w14:textId="43BE09CB" w:rsidR="001D2DAA" w:rsidRPr="008E3910" w:rsidRDefault="00DE06BF" w:rsidP="008E3910">
      <w:pPr>
        <w:spacing w:after="0"/>
        <w:jc w:val="both"/>
        <w:rPr>
          <w:rFonts w:asciiTheme="majorHAnsi" w:hAnsiTheme="majorHAnsi" w:cstheme="majorHAnsi"/>
          <w:lang w:val="da-DK"/>
        </w:rPr>
      </w:pPr>
      <w:r w:rsidRPr="008E3910">
        <w:rPr>
          <w:rFonts w:asciiTheme="majorHAnsi" w:hAnsiTheme="majorHAnsi" w:cstheme="majorHAnsi"/>
          <w:lang w:val="da-DK"/>
        </w:rPr>
        <w:t>På baggrund af oplysninger fra vores leverandører til dato findes disse stoffer i følgende produkter ved en koncentration, der kan være større end grænseværdien på 0,1 vægtprocent på artikelniveau:</w:t>
      </w:r>
    </w:p>
    <w:p w14:paraId="5D50D4A5" w14:textId="77777777" w:rsidR="00FA5F8A" w:rsidRPr="00DE06BF" w:rsidRDefault="00FA5F8A" w:rsidP="00FA5F8A">
      <w:pPr>
        <w:spacing w:after="0"/>
        <w:rPr>
          <w:rFonts w:asciiTheme="majorHAnsi" w:hAnsiTheme="majorHAnsi" w:cstheme="majorHAnsi"/>
          <w:color w:val="ED7D31" w:themeColor="accent2"/>
          <w:lang w:val="da-DK"/>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3540C7B9" w14:textId="77777777" w:rsidTr="00636C30">
        <w:trPr>
          <w:trHeight w:val="290"/>
        </w:trPr>
        <w:tc>
          <w:tcPr>
            <w:tcW w:w="1413" w:type="dxa"/>
            <w:noWrap/>
          </w:tcPr>
          <w:p w14:paraId="00FA9576" w14:textId="77777777" w:rsidR="001D2DAA" w:rsidRPr="008E3910" w:rsidRDefault="00FA5F8A" w:rsidP="005A2C7D">
            <w:pPr>
              <w:spacing w:after="0" w:line="240" w:lineRule="auto"/>
              <w:rPr>
                <w:rFonts w:asciiTheme="majorHAnsi" w:hAnsiTheme="majorHAnsi" w:cstheme="majorHAnsi"/>
                <w:b/>
                <w:bCs/>
              </w:rPr>
            </w:pPr>
            <w:proofErr w:type="spellStart"/>
            <w:r w:rsidRPr="008E3910">
              <w:rPr>
                <w:rFonts w:asciiTheme="majorHAnsi" w:hAnsiTheme="majorHAnsi" w:cstheme="majorHAnsi"/>
                <w:b/>
                <w:bCs/>
              </w:rPr>
              <w:t>Produktnavn</w:t>
            </w:r>
            <w:proofErr w:type="spellEnd"/>
          </w:p>
        </w:tc>
        <w:tc>
          <w:tcPr>
            <w:tcW w:w="5953" w:type="dxa"/>
          </w:tcPr>
          <w:p w14:paraId="28448957" w14:textId="77777777" w:rsidR="001D2DAA" w:rsidRPr="008E3910" w:rsidRDefault="00FA5F8A" w:rsidP="005A2C7D">
            <w:pPr>
              <w:spacing w:after="0" w:line="240" w:lineRule="auto"/>
              <w:rPr>
                <w:rFonts w:asciiTheme="majorHAnsi" w:hAnsiTheme="majorHAnsi" w:cstheme="majorHAnsi"/>
                <w:b/>
                <w:bCs/>
              </w:rPr>
            </w:pPr>
            <w:proofErr w:type="spellStart"/>
            <w:r w:rsidRPr="008E3910">
              <w:rPr>
                <w:rFonts w:asciiTheme="majorHAnsi" w:hAnsiTheme="majorHAnsi" w:cstheme="majorHAnsi"/>
                <w:b/>
                <w:bCs/>
              </w:rPr>
              <w:t>Stofnavn</w:t>
            </w:r>
            <w:proofErr w:type="spellEnd"/>
          </w:p>
        </w:tc>
        <w:tc>
          <w:tcPr>
            <w:tcW w:w="1696" w:type="dxa"/>
          </w:tcPr>
          <w:p w14:paraId="68558E4B" w14:textId="77777777" w:rsidR="001D2DAA" w:rsidRPr="008E3910" w:rsidRDefault="00FA5F8A" w:rsidP="005A2C7D">
            <w:pPr>
              <w:spacing w:after="0" w:line="240" w:lineRule="auto"/>
              <w:rPr>
                <w:rFonts w:asciiTheme="majorHAnsi" w:hAnsiTheme="majorHAnsi" w:cstheme="majorHAnsi"/>
                <w:b/>
                <w:bCs/>
                <w:lang w:val="fr-FR"/>
              </w:rPr>
            </w:pPr>
            <w:r w:rsidRPr="008E3910">
              <w:rPr>
                <w:rFonts w:asciiTheme="majorHAnsi" w:hAnsiTheme="majorHAnsi" w:cstheme="majorHAnsi"/>
                <w:b/>
                <w:bCs/>
                <w:lang w:val="fr-FR"/>
              </w:rPr>
              <w:t>CAS-nr.</w:t>
            </w:r>
          </w:p>
        </w:tc>
      </w:tr>
      <w:tr w:rsidR="00A751C7" w:rsidRPr="00B93A55" w14:paraId="423DFF8A" w14:textId="77777777" w:rsidTr="003E41E7">
        <w:trPr>
          <w:trHeight w:val="290"/>
        </w:trPr>
        <w:tc>
          <w:tcPr>
            <w:tcW w:w="9062" w:type="dxa"/>
            <w:gridSpan w:val="3"/>
            <w:noWrap/>
          </w:tcPr>
          <w:p w14:paraId="277803FE"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6F5437E5" w14:textId="77777777" w:rsidTr="003E41E7">
        <w:trPr>
          <w:trHeight w:val="290"/>
        </w:trPr>
        <w:tc>
          <w:tcPr>
            <w:tcW w:w="1413" w:type="dxa"/>
            <w:noWrap/>
            <w:hideMark/>
          </w:tcPr>
          <w:p w14:paraId="5F8129EC"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793225F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3E654E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65437B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7E9ABB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A6C5ABA"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79E1589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510ED4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56B94D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B3999A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BC77EB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0EA204B6" w14:textId="77777777" w:rsidTr="003E41E7">
        <w:trPr>
          <w:trHeight w:val="1448"/>
        </w:trPr>
        <w:tc>
          <w:tcPr>
            <w:tcW w:w="1413" w:type="dxa"/>
            <w:noWrap/>
            <w:hideMark/>
          </w:tcPr>
          <w:p w14:paraId="0CF1461A"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1F1B1B4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DF33A3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70DBA6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4B5F57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3959D9B"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7DCC2DE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D0AEF8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793255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30D6A8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4BBAB28"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60F1A4E4" w14:textId="77777777" w:rsidTr="003E41E7">
        <w:trPr>
          <w:trHeight w:val="290"/>
        </w:trPr>
        <w:tc>
          <w:tcPr>
            <w:tcW w:w="1413" w:type="dxa"/>
            <w:noWrap/>
            <w:hideMark/>
          </w:tcPr>
          <w:p w14:paraId="789B7229"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7E778A0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AF60C9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C4F1BE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1ED8B0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0FCB61B"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29E32D1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0B45617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FB8B5B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C213DF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2534E5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571EF897" w14:textId="77777777" w:rsidTr="003E41E7">
        <w:trPr>
          <w:trHeight w:val="290"/>
        </w:trPr>
        <w:tc>
          <w:tcPr>
            <w:tcW w:w="9062" w:type="dxa"/>
            <w:gridSpan w:val="3"/>
            <w:noWrap/>
          </w:tcPr>
          <w:p w14:paraId="314FA2A2"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4A21E5F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A33AD98"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0B9779E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D2CA36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484A1D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F42B57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D394F3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0AA0731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86BA36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46877C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6C8644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0BB3D0D"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1CAD3FBB"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118081E3"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CARDIOLAB</w:t>
            </w:r>
          </w:p>
        </w:tc>
        <w:tc>
          <w:tcPr>
            <w:tcW w:w="5953" w:type="dxa"/>
            <w:tcBorders>
              <w:top w:val="single" w:sz="4" w:space="0" w:color="auto"/>
              <w:left w:val="single" w:sz="4" w:space="0" w:color="auto"/>
              <w:bottom w:val="single" w:sz="4" w:space="0" w:color="auto"/>
              <w:right w:val="single" w:sz="4" w:space="0" w:color="auto"/>
            </w:tcBorders>
          </w:tcPr>
          <w:p w14:paraId="0A03A1A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85E5D3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72BBC8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3EBAEC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39CE32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4C4423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1303-86-2</w:t>
            </w:r>
          </w:p>
          <w:p w14:paraId="382CFE0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11A991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1317-36-8</w:t>
            </w:r>
          </w:p>
          <w:p w14:paraId="6470619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65DEF2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E383E7B"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D72AD1E"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MAC-LAB</w:t>
            </w:r>
          </w:p>
        </w:tc>
        <w:tc>
          <w:tcPr>
            <w:tcW w:w="5953" w:type="dxa"/>
            <w:tcBorders>
              <w:top w:val="single" w:sz="4" w:space="0" w:color="auto"/>
              <w:left w:val="single" w:sz="4" w:space="0" w:color="auto"/>
              <w:bottom w:val="single" w:sz="4" w:space="0" w:color="auto"/>
              <w:right w:val="single" w:sz="4" w:space="0" w:color="auto"/>
            </w:tcBorders>
          </w:tcPr>
          <w:p w14:paraId="73683CF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00F81DF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9A12ED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78FDAB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4C631C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271CD2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2D8543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023B65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5172B2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4E05C0E"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1DC8F79D"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5EC1D3C4"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4CE5F34C"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2CB3966F"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009EE26A"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6A60B7EC"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1B7CDA84"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1FD7A99C"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2F928D3B"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2440D5D2"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66579468"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48E53FAF"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6606E659"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41D0101C"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7FBC2E16"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1BFDEEA"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28D7972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1CE1BA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B073B1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F71E8F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00269B9"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379EC7E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168DA9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0E979B1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9269ED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9A7BEB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34C9049"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2B47E22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05E426F6"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141081C"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66E11FC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58C9D4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E7BCA3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E0AB7F7"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C4059D9"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1BC3888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758E9A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90859E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06DA92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9FF9D9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E4D1122"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5D97069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3D040746"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1CB7563B"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4073C50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459EB0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89ACE7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5F0E59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5A554BB"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12B0799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1734EEF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4C06F8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583097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F0F3DB9"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6BFC916"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56921387"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65FD79C7" w14:textId="77777777" w:rsidR="00636C30" w:rsidRDefault="00636C30" w:rsidP="00636C30">
      <w:pPr>
        <w:rPr>
          <w:rFonts w:asciiTheme="majorHAnsi" w:hAnsiTheme="majorHAnsi" w:cstheme="majorHAnsi"/>
        </w:rPr>
      </w:pPr>
    </w:p>
    <w:p w14:paraId="7D4405D4" w14:textId="77777777" w:rsidR="001D2DAA" w:rsidRDefault="001D2DAA" w:rsidP="001D2DAA">
      <w:pPr>
        <w:rPr>
          <w:rFonts w:asciiTheme="majorHAnsi" w:hAnsiTheme="majorHAnsi" w:cstheme="majorHAnsi"/>
        </w:rPr>
      </w:pPr>
    </w:p>
    <w:p w14:paraId="35A082BD" w14:textId="77777777" w:rsidR="001D2DAA" w:rsidRDefault="001D2DAA" w:rsidP="001D2DAA">
      <w:pPr>
        <w:rPr>
          <w:rFonts w:asciiTheme="majorHAnsi" w:hAnsiTheme="majorHAnsi" w:cstheme="majorHAnsi"/>
        </w:rPr>
      </w:pPr>
      <w:r>
        <w:rPr>
          <w:rFonts w:asciiTheme="majorHAnsi" w:hAnsiTheme="majorHAnsi" w:cstheme="majorHAnsi"/>
        </w:rPr>
        <w:br w:type="page"/>
      </w:r>
    </w:p>
    <w:p w14:paraId="7884396E"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039C3A62"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1B787A2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77F3C924"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5E785E24"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4AC072DA"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540304FD"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12E3380D"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31EA11E8"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7BBDBA2F"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389C9329"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69C66FEC"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7CC09D61"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04627A9E"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5106B3EC"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09314B3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43202938"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14499CD0" w14:textId="77777777" w:rsidR="001D2DAA" w:rsidRPr="00977090" w:rsidRDefault="001D2DAA" w:rsidP="001D2DAA">
      <w:pPr>
        <w:pStyle w:val="Default"/>
        <w:rPr>
          <w:rFonts w:asciiTheme="majorHAnsi" w:hAnsiTheme="majorHAnsi" w:cstheme="majorHAnsi"/>
          <w:color w:val="auto"/>
          <w:sz w:val="22"/>
          <w:szCs w:val="22"/>
        </w:rPr>
      </w:pPr>
    </w:p>
    <w:p w14:paraId="67118232" w14:textId="77777777" w:rsidR="00FB5EA9" w:rsidRPr="008E3910" w:rsidRDefault="00FB5EA9" w:rsidP="008E3910">
      <w:pPr>
        <w:spacing w:after="0"/>
        <w:jc w:val="both"/>
        <w:rPr>
          <w:rFonts w:asciiTheme="majorHAnsi" w:hAnsiTheme="majorHAnsi" w:cstheme="majorHAnsi"/>
          <w:lang w:val="de-DE"/>
        </w:rPr>
      </w:pPr>
      <w:r w:rsidRPr="008E3910">
        <w:rPr>
          <w:rFonts w:asciiTheme="majorHAnsi" w:hAnsiTheme="majorHAnsi" w:cstheme="majorHAnsi"/>
          <w:lang w:val="de-DE"/>
        </w:rPr>
        <w:t xml:space="preserve">GE Healthcare arbeitet mit seinen Lieferanten zusammen, um die Konformität von Artikeln sicherzustellen, die in die Europäische Union eingeführt oder dort hergestellt werden, die der REACH-Verordnung (EG-Nr. 1907/2006), Artikel 33, unterliegen und die bei der Herstellung von GE Healthcare-Produkten verwendet werden. </w:t>
      </w:r>
    </w:p>
    <w:p w14:paraId="25BCB692" w14:textId="75D2F64C" w:rsidR="00FB5EA9" w:rsidRPr="008E3910" w:rsidRDefault="00FB5EA9" w:rsidP="008E3910">
      <w:pPr>
        <w:spacing w:after="0"/>
        <w:jc w:val="both"/>
        <w:rPr>
          <w:rFonts w:asciiTheme="majorHAnsi" w:hAnsiTheme="majorHAnsi" w:cstheme="majorHAnsi"/>
          <w:lang w:val="de-DE"/>
        </w:rPr>
      </w:pPr>
      <w:r w:rsidRPr="008E3910">
        <w:rPr>
          <w:rFonts w:asciiTheme="majorHAnsi" w:hAnsiTheme="majorHAnsi" w:cstheme="majorHAnsi"/>
          <w:lang w:val="de-DE"/>
        </w:rPr>
        <w:t xml:space="preserve">Hinsichtlich der Anwendung von Artikel 33 der REACH-Verordnung und der Veröffentlichung der Kandidatenliste für besonders besorgniserregende Stoffe (SVHC-Liste) gemäß Artikel 59 der REACH-Verordnung ist GE Healthcare sich seiner rechtlichen Verpflichtungen bewusst und wird diese einhalten. </w:t>
      </w:r>
    </w:p>
    <w:p w14:paraId="53B4C2EC" w14:textId="77777777" w:rsidR="00FB5EA9" w:rsidRPr="008E3910" w:rsidRDefault="00FB5EA9" w:rsidP="008E3910">
      <w:pPr>
        <w:spacing w:after="0"/>
        <w:jc w:val="both"/>
        <w:rPr>
          <w:rFonts w:asciiTheme="majorHAnsi" w:hAnsiTheme="majorHAnsi" w:cstheme="majorHAnsi"/>
          <w:lang w:val="de-DE"/>
        </w:rPr>
      </w:pPr>
      <w:r w:rsidRPr="008E3910">
        <w:rPr>
          <w:rFonts w:asciiTheme="majorHAnsi" w:hAnsiTheme="majorHAnsi" w:cstheme="majorHAnsi"/>
          <w:lang w:val="de-DE"/>
        </w:rPr>
        <w:t xml:space="preserve">Artikel von GE Healthcare geben unter normalen Nutzungsbedingungen keine Stoffe „absichtlich frei“. </w:t>
      </w:r>
    </w:p>
    <w:p w14:paraId="58A6C74D" w14:textId="19C9B23B" w:rsidR="001D2DAA" w:rsidRPr="008E3910" w:rsidRDefault="00DE06BF" w:rsidP="008E3910">
      <w:pPr>
        <w:spacing w:after="0"/>
        <w:jc w:val="both"/>
        <w:rPr>
          <w:rFonts w:asciiTheme="majorHAnsi" w:hAnsiTheme="majorHAnsi" w:cstheme="majorHAnsi"/>
          <w:lang w:val="de-DE"/>
        </w:rPr>
      </w:pPr>
      <w:r w:rsidRPr="008E3910">
        <w:rPr>
          <w:rFonts w:asciiTheme="majorHAnsi" w:hAnsiTheme="majorHAnsi" w:cstheme="majorHAnsi"/>
          <w:lang w:val="de-DE"/>
        </w:rPr>
        <w:t>Basierend auf Informationen unserer jetzigen Lieferanten sind diese Stoffe in den folgenden Produkten mit einer Konzentration vorhanden, die höher sein kann als der Schwellenwert von 0,1 % des Artikelgewichts:</w:t>
      </w:r>
    </w:p>
    <w:p w14:paraId="1138C093" w14:textId="77777777" w:rsidR="00FB5EA9" w:rsidRPr="00DE06BF" w:rsidRDefault="00FB5EA9" w:rsidP="00FB5EA9">
      <w:pPr>
        <w:spacing w:after="0"/>
        <w:rPr>
          <w:rFonts w:asciiTheme="majorHAnsi" w:hAnsiTheme="majorHAnsi" w:cstheme="majorHAnsi"/>
          <w:color w:val="ED7D31" w:themeColor="accent2"/>
          <w:lang w:val="de-DE"/>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953"/>
        <w:gridCol w:w="1691"/>
      </w:tblGrid>
      <w:tr w:rsidR="001D2DAA" w:rsidRPr="005F0E6A" w14:paraId="62D818F6" w14:textId="77777777" w:rsidTr="00636C30">
        <w:trPr>
          <w:trHeight w:val="290"/>
        </w:trPr>
        <w:tc>
          <w:tcPr>
            <w:tcW w:w="1417" w:type="dxa"/>
            <w:noWrap/>
          </w:tcPr>
          <w:p w14:paraId="49407495" w14:textId="77777777" w:rsidR="001D2DAA" w:rsidRPr="008E3910" w:rsidRDefault="00661953" w:rsidP="005A2C7D">
            <w:pPr>
              <w:spacing w:after="0" w:line="240" w:lineRule="auto"/>
              <w:rPr>
                <w:rFonts w:asciiTheme="majorHAnsi" w:hAnsiTheme="majorHAnsi" w:cstheme="majorHAnsi"/>
                <w:b/>
                <w:bCs/>
              </w:rPr>
            </w:pPr>
            <w:proofErr w:type="spellStart"/>
            <w:r w:rsidRPr="008E3910">
              <w:rPr>
                <w:rFonts w:asciiTheme="majorHAnsi" w:hAnsiTheme="majorHAnsi" w:cstheme="majorHAnsi"/>
                <w:b/>
                <w:bCs/>
              </w:rPr>
              <w:t>Produktname</w:t>
            </w:r>
            <w:proofErr w:type="spellEnd"/>
          </w:p>
        </w:tc>
        <w:tc>
          <w:tcPr>
            <w:tcW w:w="5950" w:type="dxa"/>
          </w:tcPr>
          <w:p w14:paraId="48C56646" w14:textId="77777777" w:rsidR="001D2DAA" w:rsidRPr="008E3910" w:rsidRDefault="00661953" w:rsidP="005A2C7D">
            <w:pPr>
              <w:spacing w:after="0" w:line="240" w:lineRule="auto"/>
              <w:rPr>
                <w:rFonts w:asciiTheme="majorHAnsi" w:hAnsiTheme="majorHAnsi" w:cstheme="majorHAnsi"/>
                <w:b/>
                <w:bCs/>
              </w:rPr>
            </w:pPr>
            <w:proofErr w:type="spellStart"/>
            <w:r w:rsidRPr="008E3910">
              <w:rPr>
                <w:rFonts w:asciiTheme="majorHAnsi" w:hAnsiTheme="majorHAnsi" w:cstheme="majorHAnsi"/>
                <w:b/>
                <w:bCs/>
              </w:rPr>
              <w:t>Stoffname</w:t>
            </w:r>
            <w:proofErr w:type="spellEnd"/>
          </w:p>
        </w:tc>
        <w:tc>
          <w:tcPr>
            <w:tcW w:w="1695" w:type="dxa"/>
          </w:tcPr>
          <w:p w14:paraId="57F165B8" w14:textId="77777777" w:rsidR="001D2DAA" w:rsidRPr="008E3910" w:rsidRDefault="00661953" w:rsidP="005A2C7D">
            <w:pPr>
              <w:spacing w:after="0" w:line="240" w:lineRule="auto"/>
              <w:rPr>
                <w:rFonts w:asciiTheme="majorHAnsi" w:hAnsiTheme="majorHAnsi" w:cstheme="majorHAnsi"/>
                <w:b/>
                <w:bCs/>
                <w:lang w:val="fr-FR"/>
              </w:rPr>
            </w:pPr>
            <w:r w:rsidRPr="008E3910">
              <w:rPr>
                <w:rFonts w:asciiTheme="majorHAnsi" w:hAnsiTheme="majorHAnsi" w:cstheme="majorHAnsi"/>
                <w:b/>
                <w:bCs/>
                <w:lang w:val="fr-FR"/>
              </w:rPr>
              <w:t>CAS-Nr.</w:t>
            </w:r>
          </w:p>
        </w:tc>
      </w:tr>
      <w:tr w:rsidR="00A751C7" w:rsidRPr="00B93A55" w14:paraId="17ACC04C" w14:textId="77777777" w:rsidTr="003E41E7">
        <w:trPr>
          <w:trHeight w:val="290"/>
        </w:trPr>
        <w:tc>
          <w:tcPr>
            <w:tcW w:w="9062" w:type="dxa"/>
            <w:gridSpan w:val="3"/>
            <w:noWrap/>
          </w:tcPr>
          <w:p w14:paraId="4C9F55D6"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4AEDADF1" w14:textId="77777777" w:rsidTr="003E41E7">
        <w:trPr>
          <w:trHeight w:val="290"/>
        </w:trPr>
        <w:tc>
          <w:tcPr>
            <w:tcW w:w="1413" w:type="dxa"/>
            <w:noWrap/>
            <w:hideMark/>
          </w:tcPr>
          <w:p w14:paraId="5959E565"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68C23FF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F1CAC4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A0975C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7F7713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ABF075F"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6D8AB0C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CACF0B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19BE40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4873C3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31D6D0E"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78E3E90C" w14:textId="77777777" w:rsidTr="003E41E7">
        <w:trPr>
          <w:trHeight w:val="1448"/>
        </w:trPr>
        <w:tc>
          <w:tcPr>
            <w:tcW w:w="1413" w:type="dxa"/>
            <w:noWrap/>
            <w:hideMark/>
          </w:tcPr>
          <w:p w14:paraId="1B36DA22"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225B0D3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A15C52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03A27E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21A0A4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C0A4B6C"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51FC361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3B3F19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948E50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C874B4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D60E2A7"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57CA912B" w14:textId="77777777" w:rsidTr="003E41E7">
        <w:trPr>
          <w:trHeight w:val="290"/>
        </w:trPr>
        <w:tc>
          <w:tcPr>
            <w:tcW w:w="1413" w:type="dxa"/>
            <w:noWrap/>
            <w:hideMark/>
          </w:tcPr>
          <w:p w14:paraId="5A705D08"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23ADD67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F0A90C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36085B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8F7C25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3E81252"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2913B7E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482997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145684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EBF53A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CF9D76F"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79D42798" w14:textId="77777777" w:rsidTr="003E41E7">
        <w:trPr>
          <w:trHeight w:val="290"/>
        </w:trPr>
        <w:tc>
          <w:tcPr>
            <w:tcW w:w="9062" w:type="dxa"/>
            <w:gridSpan w:val="3"/>
            <w:noWrap/>
          </w:tcPr>
          <w:p w14:paraId="11300247"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6C96FB39"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AFFEF33"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2788507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383D66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3C3DEF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C4E800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A91760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59692E3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331F387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FC52AE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A0CCB2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7DB213D"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0F0AD9E5"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730A048"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1F81DDA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41FF32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8C0099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A3BD6D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4ACF34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09FDE57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C5853E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396B62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7D7DBA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F12607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6B63E14B"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2E55EFEC"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31E2006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6358CA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F62202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278ACE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A8DAB8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17FA27D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2D66B9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6EA8AE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EE05E5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09125C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18071828"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71C6E072"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759D6C53"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3351902F"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5B15216E"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54B0684E"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0E9E4F08"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A4A9F73"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4BD3EBCC"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1C09D5F7"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40622AF0"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11161A99"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3A59B738"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63366F53"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795334A0"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1ED6A0AF"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2ADF1C0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C43638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04E1F3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0104D68"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C76731C"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172ADB5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22CFD8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3081AD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8FA4CF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566CB9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39D1401"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1C155464"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613EC5EB"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816D617"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6F1FDC7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45A80B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F0926D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D2362E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195906F"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61D2B07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AC7A8C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08A2DBC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AD5E99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B6FE5B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ECD0BAD"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1B45D66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A5B8E0E"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03BB16C"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4D12490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188BF1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6172FD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2923EB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F7BD700"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4CF41EE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C51453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4D9915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9A9BD8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FD9A93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C3E228F"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26C0B7E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63B9E9A3" w14:textId="77777777" w:rsidR="00636C30" w:rsidRDefault="00636C30" w:rsidP="00636C30">
      <w:pPr>
        <w:rPr>
          <w:rFonts w:asciiTheme="majorHAnsi" w:hAnsiTheme="majorHAnsi" w:cstheme="majorHAnsi"/>
        </w:rPr>
      </w:pPr>
    </w:p>
    <w:p w14:paraId="228ED013" w14:textId="77777777" w:rsidR="001D2DAA" w:rsidRDefault="001D2DAA" w:rsidP="001D2DAA">
      <w:pPr>
        <w:rPr>
          <w:rFonts w:asciiTheme="majorHAnsi" w:hAnsiTheme="majorHAnsi" w:cstheme="majorHAnsi"/>
        </w:rPr>
      </w:pPr>
    </w:p>
    <w:p w14:paraId="5BD12AC3" w14:textId="77777777" w:rsidR="001D2DAA" w:rsidRDefault="001D2DAA" w:rsidP="001D2DAA">
      <w:pPr>
        <w:rPr>
          <w:rFonts w:asciiTheme="majorHAnsi" w:hAnsiTheme="majorHAnsi" w:cstheme="majorHAnsi"/>
        </w:rPr>
      </w:pPr>
      <w:r>
        <w:rPr>
          <w:rFonts w:asciiTheme="majorHAnsi" w:hAnsiTheme="majorHAnsi" w:cstheme="majorHAnsi"/>
        </w:rPr>
        <w:br w:type="page"/>
      </w:r>
    </w:p>
    <w:p w14:paraId="35C3B712"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30530249"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7B8B6EB3"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2F22D478"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663DDAC8"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6DFF06AA"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6BAFAA0E"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4D1BD67E"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40007FE8"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6E37C2D7"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6C3AB0F5"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22A394C7"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788F4DD0"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2CA91542"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6DA13FA5"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5E137F65"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2D0B399B"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52C366BF" w14:textId="77777777" w:rsidR="001D2DAA" w:rsidRPr="00977090" w:rsidRDefault="001D2DAA" w:rsidP="001D2DAA">
      <w:pPr>
        <w:pStyle w:val="Default"/>
        <w:rPr>
          <w:rFonts w:asciiTheme="majorHAnsi" w:hAnsiTheme="majorHAnsi" w:cstheme="majorHAnsi"/>
          <w:color w:val="auto"/>
          <w:sz w:val="22"/>
          <w:szCs w:val="22"/>
        </w:rPr>
      </w:pPr>
    </w:p>
    <w:p w14:paraId="2D499850" w14:textId="77777777" w:rsidR="005745D5" w:rsidRPr="008E3910" w:rsidRDefault="005745D5" w:rsidP="008E3910">
      <w:pPr>
        <w:spacing w:after="0"/>
        <w:jc w:val="both"/>
        <w:rPr>
          <w:rFonts w:asciiTheme="majorHAnsi" w:hAnsiTheme="majorHAnsi" w:cstheme="majorHAnsi"/>
        </w:rPr>
      </w:pPr>
      <w:r w:rsidRPr="008E3910">
        <w:rPr>
          <w:rFonts w:asciiTheme="majorHAnsi" w:hAnsiTheme="majorHAnsi" w:cstheme="majorHAnsi"/>
        </w:rPr>
        <w:t xml:space="preserve">GE Healthcare </w:t>
      </w:r>
      <w:proofErr w:type="spellStart"/>
      <w:r w:rsidRPr="008E3910">
        <w:rPr>
          <w:rFonts w:asciiTheme="majorHAnsi" w:hAnsiTheme="majorHAnsi" w:cstheme="majorHAnsi"/>
        </w:rPr>
        <w:t>teeb</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oma</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tarnijatega</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koostööd</w:t>
      </w:r>
      <w:proofErr w:type="spellEnd"/>
      <w:r w:rsidRPr="008E3910">
        <w:rPr>
          <w:rFonts w:asciiTheme="majorHAnsi" w:hAnsiTheme="majorHAnsi" w:cstheme="majorHAnsi"/>
        </w:rPr>
        <w:t xml:space="preserve">, et </w:t>
      </w:r>
      <w:proofErr w:type="spellStart"/>
      <w:r w:rsidRPr="008E3910">
        <w:rPr>
          <w:rFonts w:asciiTheme="majorHAnsi" w:hAnsiTheme="majorHAnsi" w:cstheme="majorHAnsi"/>
        </w:rPr>
        <w:t>tagada</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nende</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Euroopa</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Liidus</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imporditud</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või</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toodetud</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toodete</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vastavus</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millele</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kohaldub</w:t>
      </w:r>
      <w:proofErr w:type="spellEnd"/>
      <w:r w:rsidRPr="008E3910">
        <w:rPr>
          <w:rFonts w:asciiTheme="majorHAnsi" w:hAnsiTheme="majorHAnsi" w:cstheme="majorHAnsi"/>
        </w:rPr>
        <w:t xml:space="preserve"> REACH-</w:t>
      </w:r>
      <w:proofErr w:type="spellStart"/>
      <w:r w:rsidRPr="008E3910">
        <w:rPr>
          <w:rFonts w:asciiTheme="majorHAnsi" w:hAnsiTheme="majorHAnsi" w:cstheme="majorHAnsi"/>
        </w:rPr>
        <w:t>määruse</w:t>
      </w:r>
      <w:proofErr w:type="spellEnd"/>
      <w:r w:rsidRPr="008E3910">
        <w:rPr>
          <w:rFonts w:asciiTheme="majorHAnsi" w:hAnsiTheme="majorHAnsi" w:cstheme="majorHAnsi"/>
        </w:rPr>
        <w:t xml:space="preserve"> ((EÜ) nr 1907/2006) </w:t>
      </w:r>
      <w:proofErr w:type="spellStart"/>
      <w:r w:rsidRPr="008E3910">
        <w:rPr>
          <w:rFonts w:asciiTheme="majorHAnsi" w:hAnsiTheme="majorHAnsi" w:cstheme="majorHAnsi"/>
        </w:rPr>
        <w:t>artikkel</w:t>
      </w:r>
      <w:proofErr w:type="spellEnd"/>
      <w:r w:rsidRPr="008E3910">
        <w:rPr>
          <w:rFonts w:asciiTheme="majorHAnsi" w:hAnsiTheme="majorHAnsi" w:cstheme="majorHAnsi"/>
        </w:rPr>
        <w:t xml:space="preserve"> 33 </w:t>
      </w:r>
      <w:proofErr w:type="spellStart"/>
      <w:r w:rsidRPr="008E3910">
        <w:rPr>
          <w:rFonts w:asciiTheme="majorHAnsi" w:hAnsiTheme="majorHAnsi" w:cstheme="majorHAnsi"/>
        </w:rPr>
        <w:t>ning</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mida</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kasutatakse</w:t>
      </w:r>
      <w:proofErr w:type="spellEnd"/>
      <w:r w:rsidRPr="008E3910">
        <w:rPr>
          <w:rFonts w:asciiTheme="majorHAnsi" w:hAnsiTheme="majorHAnsi" w:cstheme="majorHAnsi"/>
        </w:rPr>
        <w:t xml:space="preserve"> GE </w:t>
      </w:r>
      <w:proofErr w:type="spellStart"/>
      <w:r w:rsidRPr="008E3910">
        <w:rPr>
          <w:rFonts w:asciiTheme="majorHAnsi" w:hAnsiTheme="majorHAnsi" w:cstheme="majorHAnsi"/>
        </w:rPr>
        <w:t>Healthcare'i</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toodete</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tootmisel</w:t>
      </w:r>
      <w:proofErr w:type="spellEnd"/>
      <w:r w:rsidRPr="008E3910">
        <w:rPr>
          <w:rFonts w:asciiTheme="majorHAnsi" w:hAnsiTheme="majorHAnsi" w:cstheme="majorHAnsi"/>
        </w:rPr>
        <w:t xml:space="preserve">. </w:t>
      </w:r>
    </w:p>
    <w:p w14:paraId="7B64F041" w14:textId="77777777" w:rsidR="005745D5" w:rsidRPr="008E3910" w:rsidRDefault="005745D5" w:rsidP="008E3910">
      <w:pPr>
        <w:spacing w:after="0"/>
        <w:jc w:val="both"/>
        <w:rPr>
          <w:rFonts w:asciiTheme="majorHAnsi" w:hAnsiTheme="majorHAnsi" w:cstheme="majorHAnsi"/>
        </w:rPr>
      </w:pPr>
      <w:proofErr w:type="spellStart"/>
      <w:r w:rsidRPr="008E3910">
        <w:rPr>
          <w:rFonts w:asciiTheme="majorHAnsi" w:hAnsiTheme="majorHAnsi" w:cstheme="majorHAnsi"/>
        </w:rPr>
        <w:t>Seoses</w:t>
      </w:r>
      <w:proofErr w:type="spellEnd"/>
      <w:r w:rsidRPr="008E3910">
        <w:rPr>
          <w:rFonts w:asciiTheme="majorHAnsi" w:hAnsiTheme="majorHAnsi" w:cstheme="majorHAnsi"/>
        </w:rPr>
        <w:t xml:space="preserve"> REACH-</w:t>
      </w:r>
      <w:proofErr w:type="spellStart"/>
      <w:r w:rsidRPr="008E3910">
        <w:rPr>
          <w:rFonts w:asciiTheme="majorHAnsi" w:hAnsiTheme="majorHAnsi" w:cstheme="majorHAnsi"/>
        </w:rPr>
        <w:t>määruse</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artikli</w:t>
      </w:r>
      <w:proofErr w:type="spellEnd"/>
      <w:r w:rsidRPr="008E3910">
        <w:rPr>
          <w:rFonts w:asciiTheme="majorHAnsi" w:hAnsiTheme="majorHAnsi" w:cstheme="majorHAnsi"/>
        </w:rPr>
        <w:t xml:space="preserve"> 33 </w:t>
      </w:r>
      <w:proofErr w:type="spellStart"/>
      <w:r w:rsidRPr="008E3910">
        <w:rPr>
          <w:rFonts w:asciiTheme="majorHAnsi" w:hAnsiTheme="majorHAnsi" w:cstheme="majorHAnsi"/>
        </w:rPr>
        <w:t>kohaldamise</w:t>
      </w:r>
      <w:proofErr w:type="spellEnd"/>
      <w:r w:rsidRPr="008E3910">
        <w:rPr>
          <w:rFonts w:asciiTheme="majorHAnsi" w:hAnsiTheme="majorHAnsi" w:cstheme="majorHAnsi"/>
        </w:rPr>
        <w:t xml:space="preserve"> ja </w:t>
      </w:r>
      <w:proofErr w:type="spellStart"/>
      <w:r w:rsidRPr="008E3910">
        <w:rPr>
          <w:rFonts w:asciiTheme="majorHAnsi" w:hAnsiTheme="majorHAnsi" w:cstheme="majorHAnsi"/>
        </w:rPr>
        <w:t>väga</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ohtlike</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ainete</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kandidaatainete</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nimekirja</w:t>
      </w:r>
      <w:proofErr w:type="spellEnd"/>
      <w:r w:rsidRPr="008E3910">
        <w:rPr>
          <w:rFonts w:asciiTheme="majorHAnsi" w:hAnsiTheme="majorHAnsi" w:cstheme="majorHAnsi"/>
        </w:rPr>
        <w:t xml:space="preserve"> (SVHC) </w:t>
      </w:r>
      <w:proofErr w:type="spellStart"/>
      <w:r w:rsidRPr="008E3910">
        <w:rPr>
          <w:rFonts w:asciiTheme="majorHAnsi" w:hAnsiTheme="majorHAnsi" w:cstheme="majorHAnsi"/>
        </w:rPr>
        <w:t>avaldamisega</w:t>
      </w:r>
      <w:proofErr w:type="spellEnd"/>
      <w:r w:rsidRPr="008E3910">
        <w:rPr>
          <w:rFonts w:asciiTheme="majorHAnsi" w:hAnsiTheme="majorHAnsi" w:cstheme="majorHAnsi"/>
        </w:rPr>
        <w:t xml:space="preserve"> REACH-</w:t>
      </w:r>
      <w:proofErr w:type="spellStart"/>
      <w:r w:rsidRPr="008E3910">
        <w:rPr>
          <w:rFonts w:asciiTheme="majorHAnsi" w:hAnsiTheme="majorHAnsi" w:cstheme="majorHAnsi"/>
        </w:rPr>
        <w:t>määruse</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artikli</w:t>
      </w:r>
      <w:proofErr w:type="spellEnd"/>
      <w:r w:rsidRPr="008E3910">
        <w:rPr>
          <w:rFonts w:asciiTheme="majorHAnsi" w:hAnsiTheme="majorHAnsi" w:cstheme="majorHAnsi"/>
        </w:rPr>
        <w:t xml:space="preserve"> 59 </w:t>
      </w:r>
      <w:proofErr w:type="spellStart"/>
      <w:r w:rsidRPr="008E3910">
        <w:rPr>
          <w:rFonts w:asciiTheme="majorHAnsi" w:hAnsiTheme="majorHAnsi" w:cstheme="majorHAnsi"/>
        </w:rPr>
        <w:t>kohaselt</w:t>
      </w:r>
      <w:proofErr w:type="spellEnd"/>
      <w:r w:rsidRPr="008E3910">
        <w:rPr>
          <w:rFonts w:asciiTheme="majorHAnsi" w:hAnsiTheme="majorHAnsi" w:cstheme="majorHAnsi"/>
        </w:rPr>
        <w:t xml:space="preserve"> on GE Healthcare </w:t>
      </w:r>
      <w:proofErr w:type="spellStart"/>
      <w:r w:rsidRPr="008E3910">
        <w:rPr>
          <w:rFonts w:asciiTheme="majorHAnsi" w:hAnsiTheme="majorHAnsi" w:cstheme="majorHAnsi"/>
        </w:rPr>
        <w:t>oma</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juriidilistest</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kohustustest</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teadlik</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ning</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täidab</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neid</w:t>
      </w:r>
      <w:proofErr w:type="spellEnd"/>
      <w:r w:rsidRPr="008E3910">
        <w:rPr>
          <w:rFonts w:asciiTheme="majorHAnsi" w:hAnsiTheme="majorHAnsi" w:cstheme="majorHAnsi"/>
        </w:rPr>
        <w:t xml:space="preserve">. </w:t>
      </w:r>
    </w:p>
    <w:p w14:paraId="6A61DA7B" w14:textId="261B2A97" w:rsidR="005745D5" w:rsidRPr="008E3910" w:rsidRDefault="005745D5" w:rsidP="008E3910">
      <w:pPr>
        <w:spacing w:after="0"/>
        <w:jc w:val="both"/>
        <w:rPr>
          <w:rFonts w:asciiTheme="majorHAnsi" w:hAnsiTheme="majorHAnsi" w:cstheme="majorHAnsi"/>
        </w:rPr>
      </w:pPr>
      <w:r w:rsidRPr="008E3910">
        <w:rPr>
          <w:rFonts w:asciiTheme="majorHAnsi" w:hAnsiTheme="majorHAnsi" w:cstheme="majorHAnsi"/>
        </w:rPr>
        <w:t xml:space="preserve">GE </w:t>
      </w:r>
      <w:proofErr w:type="spellStart"/>
      <w:r w:rsidRPr="008E3910">
        <w:rPr>
          <w:rFonts w:asciiTheme="majorHAnsi" w:hAnsiTheme="majorHAnsi" w:cstheme="majorHAnsi"/>
        </w:rPr>
        <w:t>Healthcare'i</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toodetest</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ei</w:t>
      </w:r>
      <w:proofErr w:type="spellEnd"/>
      <w:r w:rsidRPr="008E3910">
        <w:rPr>
          <w:rFonts w:asciiTheme="majorHAnsi" w:hAnsiTheme="majorHAnsi" w:cstheme="majorHAnsi"/>
        </w:rPr>
        <w:t xml:space="preserve"> ole </w:t>
      </w:r>
      <w:proofErr w:type="spellStart"/>
      <w:r w:rsidRPr="008E3910">
        <w:rPr>
          <w:rFonts w:asciiTheme="majorHAnsi" w:hAnsiTheme="majorHAnsi" w:cstheme="majorHAnsi"/>
        </w:rPr>
        <w:t>tavalistes</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kasutustingimustes</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ainete</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eraldumine</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ette</w:t>
      </w:r>
      <w:proofErr w:type="spellEnd"/>
      <w:r w:rsidRPr="008E3910">
        <w:rPr>
          <w:rFonts w:asciiTheme="majorHAnsi" w:hAnsiTheme="majorHAnsi" w:cstheme="majorHAnsi"/>
        </w:rPr>
        <w:t xml:space="preserve"> </w:t>
      </w:r>
      <w:proofErr w:type="spellStart"/>
      <w:proofErr w:type="gramStart"/>
      <w:r w:rsidRPr="008E3910">
        <w:rPr>
          <w:rFonts w:asciiTheme="majorHAnsi" w:hAnsiTheme="majorHAnsi" w:cstheme="majorHAnsi"/>
        </w:rPr>
        <w:t>nähtud</w:t>
      </w:r>
      <w:proofErr w:type="spellEnd"/>
      <w:r w:rsidRPr="008E3910">
        <w:rPr>
          <w:rFonts w:asciiTheme="majorHAnsi" w:hAnsiTheme="majorHAnsi" w:cstheme="majorHAnsi"/>
        </w:rPr>
        <w:t>“</w:t>
      </w:r>
      <w:proofErr w:type="gramEnd"/>
      <w:r w:rsidRPr="008E3910">
        <w:rPr>
          <w:rFonts w:asciiTheme="majorHAnsi" w:hAnsiTheme="majorHAnsi" w:cstheme="majorHAnsi"/>
        </w:rPr>
        <w:t xml:space="preserve">. </w:t>
      </w:r>
    </w:p>
    <w:p w14:paraId="47079E0A" w14:textId="10CA1AAB" w:rsidR="001D2DAA" w:rsidRPr="008E3910" w:rsidRDefault="00D716F3" w:rsidP="008E3910">
      <w:pPr>
        <w:spacing w:after="0"/>
        <w:jc w:val="both"/>
        <w:rPr>
          <w:rFonts w:asciiTheme="majorHAnsi" w:hAnsiTheme="majorHAnsi" w:cstheme="majorHAnsi"/>
        </w:rPr>
      </w:pPr>
      <w:proofErr w:type="spellStart"/>
      <w:r w:rsidRPr="008E3910">
        <w:rPr>
          <w:rFonts w:asciiTheme="majorHAnsi" w:hAnsiTheme="majorHAnsi" w:cstheme="majorHAnsi"/>
        </w:rPr>
        <w:t>Tarnijatelt</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saadud</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teabe</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kohaselt</w:t>
      </w:r>
      <w:proofErr w:type="spellEnd"/>
      <w:r w:rsidRPr="008E3910">
        <w:rPr>
          <w:rFonts w:asciiTheme="majorHAnsi" w:hAnsiTheme="majorHAnsi" w:cstheme="majorHAnsi"/>
        </w:rPr>
        <w:t xml:space="preserve"> on need </w:t>
      </w:r>
      <w:proofErr w:type="spellStart"/>
      <w:r w:rsidRPr="008E3910">
        <w:rPr>
          <w:rFonts w:asciiTheme="majorHAnsi" w:hAnsiTheme="majorHAnsi" w:cstheme="majorHAnsi"/>
        </w:rPr>
        <w:t>ained</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järgmistes</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toodetes</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olemas</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sisalduses</w:t>
      </w:r>
      <w:proofErr w:type="spellEnd"/>
      <w:r w:rsidRPr="008E3910">
        <w:rPr>
          <w:rFonts w:asciiTheme="majorHAnsi" w:hAnsiTheme="majorHAnsi" w:cstheme="majorHAnsi"/>
        </w:rPr>
        <w:t xml:space="preserve">, mis </w:t>
      </w:r>
      <w:proofErr w:type="spellStart"/>
      <w:r w:rsidRPr="008E3910">
        <w:rPr>
          <w:rFonts w:asciiTheme="majorHAnsi" w:hAnsiTheme="majorHAnsi" w:cstheme="majorHAnsi"/>
        </w:rPr>
        <w:t>võib</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toote</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tasemel</w:t>
      </w:r>
      <w:proofErr w:type="spellEnd"/>
      <w:r w:rsidRPr="008E3910">
        <w:rPr>
          <w:rFonts w:asciiTheme="majorHAnsi" w:hAnsiTheme="majorHAnsi" w:cstheme="majorHAnsi"/>
        </w:rPr>
        <w:t xml:space="preserve"> olla </w:t>
      </w:r>
      <w:proofErr w:type="spellStart"/>
      <w:r w:rsidRPr="008E3910">
        <w:rPr>
          <w:rFonts w:asciiTheme="majorHAnsi" w:hAnsiTheme="majorHAnsi" w:cstheme="majorHAnsi"/>
        </w:rPr>
        <w:t>suurem</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kui</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piirväärtus</w:t>
      </w:r>
      <w:proofErr w:type="spellEnd"/>
      <w:r w:rsidRPr="008E3910">
        <w:rPr>
          <w:rFonts w:asciiTheme="majorHAnsi" w:hAnsiTheme="majorHAnsi" w:cstheme="majorHAnsi"/>
        </w:rPr>
        <w:t xml:space="preserve"> 0,1 </w:t>
      </w:r>
      <w:proofErr w:type="spellStart"/>
      <w:r w:rsidRPr="008E3910">
        <w:rPr>
          <w:rFonts w:asciiTheme="majorHAnsi" w:hAnsiTheme="majorHAnsi" w:cstheme="majorHAnsi"/>
        </w:rPr>
        <w:t>massiprotsenti</w:t>
      </w:r>
      <w:proofErr w:type="spellEnd"/>
      <w:r w:rsidRPr="008E3910">
        <w:rPr>
          <w:rFonts w:asciiTheme="majorHAnsi" w:hAnsiTheme="majorHAnsi" w:cstheme="majorHAnsi"/>
        </w:rPr>
        <w:t>:</w:t>
      </w:r>
    </w:p>
    <w:p w14:paraId="0A46BB0E" w14:textId="77777777" w:rsidR="009870E6" w:rsidRPr="006706BE" w:rsidRDefault="009870E6" w:rsidP="005745D5">
      <w:pPr>
        <w:spacing w:after="0"/>
        <w:rPr>
          <w:rFonts w:asciiTheme="majorHAnsi" w:hAnsiTheme="majorHAnsi" w:cstheme="majorHAnsi"/>
          <w:color w:val="ED7D31" w:themeColor="accent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77AEACC9" w14:textId="77777777" w:rsidTr="00636C30">
        <w:trPr>
          <w:trHeight w:val="290"/>
        </w:trPr>
        <w:tc>
          <w:tcPr>
            <w:tcW w:w="1413" w:type="dxa"/>
            <w:noWrap/>
          </w:tcPr>
          <w:p w14:paraId="5682BE42" w14:textId="77777777" w:rsidR="001D2DAA" w:rsidRPr="008E3910" w:rsidRDefault="009870E6" w:rsidP="005A2C7D">
            <w:pPr>
              <w:spacing w:after="0" w:line="240" w:lineRule="auto"/>
              <w:rPr>
                <w:rFonts w:asciiTheme="majorHAnsi" w:hAnsiTheme="majorHAnsi" w:cstheme="majorHAnsi"/>
                <w:b/>
                <w:bCs/>
              </w:rPr>
            </w:pPr>
            <w:proofErr w:type="spellStart"/>
            <w:r w:rsidRPr="008E3910">
              <w:rPr>
                <w:rFonts w:asciiTheme="majorHAnsi" w:hAnsiTheme="majorHAnsi" w:cstheme="majorHAnsi"/>
                <w:b/>
                <w:bCs/>
              </w:rPr>
              <w:t>Toote</w:t>
            </w:r>
            <w:proofErr w:type="spellEnd"/>
            <w:r w:rsidRPr="008E3910">
              <w:rPr>
                <w:rFonts w:asciiTheme="majorHAnsi" w:hAnsiTheme="majorHAnsi" w:cstheme="majorHAnsi"/>
                <w:b/>
                <w:bCs/>
              </w:rPr>
              <w:t xml:space="preserve"> </w:t>
            </w:r>
            <w:proofErr w:type="spellStart"/>
            <w:r w:rsidRPr="008E3910">
              <w:rPr>
                <w:rFonts w:asciiTheme="majorHAnsi" w:hAnsiTheme="majorHAnsi" w:cstheme="majorHAnsi"/>
                <w:b/>
                <w:bCs/>
              </w:rPr>
              <w:t>nimetus</w:t>
            </w:r>
            <w:proofErr w:type="spellEnd"/>
          </w:p>
        </w:tc>
        <w:tc>
          <w:tcPr>
            <w:tcW w:w="5953" w:type="dxa"/>
          </w:tcPr>
          <w:p w14:paraId="70C9D053" w14:textId="77777777" w:rsidR="001D2DAA" w:rsidRPr="008E3910" w:rsidRDefault="009870E6" w:rsidP="005A2C7D">
            <w:pPr>
              <w:spacing w:after="0" w:line="240" w:lineRule="auto"/>
              <w:rPr>
                <w:rFonts w:asciiTheme="majorHAnsi" w:hAnsiTheme="majorHAnsi" w:cstheme="majorHAnsi"/>
                <w:b/>
                <w:bCs/>
              </w:rPr>
            </w:pPr>
            <w:proofErr w:type="spellStart"/>
            <w:r w:rsidRPr="008E3910">
              <w:rPr>
                <w:rFonts w:asciiTheme="majorHAnsi" w:hAnsiTheme="majorHAnsi" w:cstheme="majorHAnsi"/>
                <w:b/>
                <w:bCs/>
              </w:rPr>
              <w:t>Aine</w:t>
            </w:r>
            <w:proofErr w:type="spellEnd"/>
            <w:r w:rsidRPr="008E3910">
              <w:rPr>
                <w:rFonts w:asciiTheme="majorHAnsi" w:hAnsiTheme="majorHAnsi" w:cstheme="majorHAnsi"/>
                <w:b/>
                <w:bCs/>
              </w:rPr>
              <w:t xml:space="preserve"> </w:t>
            </w:r>
            <w:proofErr w:type="spellStart"/>
            <w:r w:rsidRPr="008E3910">
              <w:rPr>
                <w:rFonts w:asciiTheme="majorHAnsi" w:hAnsiTheme="majorHAnsi" w:cstheme="majorHAnsi"/>
                <w:b/>
                <w:bCs/>
              </w:rPr>
              <w:t>nimetus</w:t>
            </w:r>
            <w:proofErr w:type="spellEnd"/>
          </w:p>
        </w:tc>
        <w:tc>
          <w:tcPr>
            <w:tcW w:w="1696" w:type="dxa"/>
          </w:tcPr>
          <w:p w14:paraId="094A0501" w14:textId="77777777" w:rsidR="001D2DAA" w:rsidRPr="008E3910" w:rsidRDefault="009870E6" w:rsidP="005A2C7D">
            <w:pPr>
              <w:spacing w:after="0" w:line="240" w:lineRule="auto"/>
              <w:rPr>
                <w:rFonts w:asciiTheme="majorHAnsi" w:hAnsiTheme="majorHAnsi" w:cstheme="majorHAnsi"/>
                <w:b/>
                <w:bCs/>
                <w:lang w:val="fr-FR"/>
              </w:rPr>
            </w:pPr>
            <w:proofErr w:type="spellStart"/>
            <w:r w:rsidRPr="008E3910">
              <w:rPr>
                <w:rFonts w:asciiTheme="majorHAnsi" w:hAnsiTheme="majorHAnsi" w:cstheme="majorHAnsi"/>
                <w:b/>
                <w:bCs/>
                <w:lang w:val="fr-FR"/>
              </w:rPr>
              <w:t>CASi</w:t>
            </w:r>
            <w:proofErr w:type="spellEnd"/>
            <w:r w:rsidRPr="008E3910">
              <w:rPr>
                <w:rFonts w:asciiTheme="majorHAnsi" w:hAnsiTheme="majorHAnsi" w:cstheme="majorHAnsi"/>
                <w:b/>
                <w:bCs/>
                <w:lang w:val="fr-FR"/>
              </w:rPr>
              <w:t xml:space="preserve"> nr</w:t>
            </w:r>
          </w:p>
        </w:tc>
      </w:tr>
      <w:tr w:rsidR="00A751C7" w:rsidRPr="00B93A55" w14:paraId="70E6DD26" w14:textId="77777777" w:rsidTr="003E41E7">
        <w:trPr>
          <w:trHeight w:val="290"/>
        </w:trPr>
        <w:tc>
          <w:tcPr>
            <w:tcW w:w="9062" w:type="dxa"/>
            <w:gridSpan w:val="3"/>
            <w:noWrap/>
          </w:tcPr>
          <w:p w14:paraId="7CE178DE"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383D41A6" w14:textId="77777777" w:rsidTr="003E41E7">
        <w:trPr>
          <w:trHeight w:val="290"/>
        </w:trPr>
        <w:tc>
          <w:tcPr>
            <w:tcW w:w="1413" w:type="dxa"/>
            <w:noWrap/>
            <w:hideMark/>
          </w:tcPr>
          <w:p w14:paraId="63BEE86C"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2DE76D8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262666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4006A3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EF8B60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66BD46D"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21C1480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0EF59DF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FB91F7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BF9B85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6215817"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180B028" w14:textId="77777777" w:rsidTr="003E41E7">
        <w:trPr>
          <w:trHeight w:val="1448"/>
        </w:trPr>
        <w:tc>
          <w:tcPr>
            <w:tcW w:w="1413" w:type="dxa"/>
            <w:noWrap/>
            <w:hideMark/>
          </w:tcPr>
          <w:p w14:paraId="210C483C"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6F3BF1D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9B9F9A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EAC7F2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A95AC3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AFC9FA9"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0885DC8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26A017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7C7AEB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287677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F9851A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0A9B9D83" w14:textId="77777777" w:rsidTr="003E41E7">
        <w:trPr>
          <w:trHeight w:val="290"/>
        </w:trPr>
        <w:tc>
          <w:tcPr>
            <w:tcW w:w="1413" w:type="dxa"/>
            <w:noWrap/>
            <w:hideMark/>
          </w:tcPr>
          <w:p w14:paraId="00F2D590"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7EF79F6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CABCF3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6398CC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8D9BA3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3CA3569"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5F6FDE0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1A5870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63B467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B0AC19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6B14B1D"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1B3612DA" w14:textId="77777777" w:rsidTr="003E41E7">
        <w:trPr>
          <w:trHeight w:val="290"/>
        </w:trPr>
        <w:tc>
          <w:tcPr>
            <w:tcW w:w="9062" w:type="dxa"/>
            <w:gridSpan w:val="3"/>
            <w:noWrap/>
          </w:tcPr>
          <w:p w14:paraId="0EF65561"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2D1999C7"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47DF9E9"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6FE9026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90E5AC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6BD35A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3C0D5D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7D9329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27774D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BCA6B1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F7A5AE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3FDD67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C1858F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4A632DB"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A2D3AEA"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4439F1C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DFC75A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93A106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39555E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30D681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46021A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6F742C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6C9C0F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4FC49B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DA52C6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EAFF3FE"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6F9CCB5"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282F0AB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FBB6CA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443BF1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605FA2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E5B1B4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832AD7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B348D6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A22BCC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1B210D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73BDD9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72D1013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4F303BE7"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0876E496"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542C15E6"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3A50F65E"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4F083782"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09465B62"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B2C7A51"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245D6CB7"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2F20628D"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08718C4C"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0720079F"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5A8602A9"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5728FD30"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3B373DEB"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622100A2"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27222EA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5639FE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9FAD48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6B76CC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5D4B0D6"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6B90D17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DC0A64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2B71EB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621820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E855D6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D5DB1C8"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4E7A0C50"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04C432CD"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14F2694"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6487DD2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B3CBFE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49B798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B92241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0800797"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4AAFCEE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55A20DE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4FB1D0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095301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661E18E"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416D549"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4B011D0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230A2A31"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5DD82FD"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4DF71DA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C3A096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9879DE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2C2109E"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A046BEB"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26ACED2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53123E9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DF80FC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081445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A27A6B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E3427B5"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01E4011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5A4130BF" w14:textId="77777777" w:rsidR="00636C30" w:rsidRDefault="00636C30" w:rsidP="00636C30">
      <w:pPr>
        <w:rPr>
          <w:rFonts w:asciiTheme="majorHAnsi" w:hAnsiTheme="majorHAnsi" w:cstheme="majorHAnsi"/>
        </w:rPr>
      </w:pPr>
    </w:p>
    <w:p w14:paraId="249873A4" w14:textId="77777777" w:rsidR="001D2DAA" w:rsidRDefault="001D2DAA" w:rsidP="001D2DAA">
      <w:pPr>
        <w:rPr>
          <w:rFonts w:asciiTheme="majorHAnsi" w:hAnsiTheme="majorHAnsi" w:cstheme="majorHAnsi"/>
        </w:rPr>
      </w:pPr>
    </w:p>
    <w:p w14:paraId="07992A88" w14:textId="77777777" w:rsidR="001D2DAA" w:rsidRDefault="001D2DAA" w:rsidP="001D2DAA">
      <w:pPr>
        <w:rPr>
          <w:rFonts w:asciiTheme="majorHAnsi" w:hAnsiTheme="majorHAnsi" w:cstheme="majorHAnsi"/>
        </w:rPr>
      </w:pPr>
      <w:r>
        <w:rPr>
          <w:rFonts w:asciiTheme="majorHAnsi" w:hAnsiTheme="majorHAnsi" w:cstheme="majorHAnsi"/>
        </w:rPr>
        <w:br w:type="page"/>
      </w:r>
    </w:p>
    <w:p w14:paraId="40DC1FD2"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57BD8924"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1D4306FE"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2F6FFABE"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75F314E6"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0975BF82"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05408CC3"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1864C09A"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6C3D8A6A"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0FF406B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1FB32873"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37238890"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693ACC69"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0FC0B8A8"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6F78B6B5"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05062802"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583977B8"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0AE0F83E" w14:textId="77777777" w:rsidR="001D2DAA" w:rsidRPr="00977090" w:rsidRDefault="001D2DAA" w:rsidP="001D2DAA">
      <w:pPr>
        <w:pStyle w:val="Default"/>
        <w:rPr>
          <w:rFonts w:asciiTheme="majorHAnsi" w:hAnsiTheme="majorHAnsi" w:cstheme="majorHAnsi"/>
          <w:color w:val="auto"/>
          <w:sz w:val="22"/>
          <w:szCs w:val="22"/>
        </w:rPr>
      </w:pPr>
    </w:p>
    <w:p w14:paraId="73A02402" w14:textId="09F9538F" w:rsidR="005A56DC" w:rsidRPr="008E3910" w:rsidRDefault="00867862" w:rsidP="008E3910">
      <w:pPr>
        <w:spacing w:after="0"/>
        <w:jc w:val="both"/>
        <w:rPr>
          <w:rFonts w:asciiTheme="majorHAnsi" w:hAnsiTheme="majorHAnsi" w:cstheme="majorHAnsi"/>
        </w:rPr>
      </w:pPr>
      <w:r w:rsidRPr="008E3910">
        <w:rPr>
          <w:rFonts w:asciiTheme="majorHAnsi" w:hAnsiTheme="majorHAnsi" w:cstheme="majorHAnsi"/>
        </w:rPr>
        <w:t xml:space="preserve">Η </w:t>
      </w:r>
      <w:r w:rsidR="005A56DC" w:rsidRPr="008E3910">
        <w:rPr>
          <w:rFonts w:asciiTheme="majorHAnsi" w:hAnsiTheme="majorHAnsi" w:cstheme="majorHAnsi"/>
        </w:rPr>
        <w:t xml:space="preserve">GE Healthcare </w:t>
      </w:r>
      <w:proofErr w:type="spellStart"/>
      <w:r w:rsidR="005A56DC" w:rsidRPr="008E3910">
        <w:rPr>
          <w:rFonts w:asciiTheme="majorHAnsi" w:hAnsiTheme="majorHAnsi" w:cstheme="majorHAnsi"/>
        </w:rPr>
        <w:t>συνεργάζετ</w:t>
      </w:r>
      <w:proofErr w:type="spellEnd"/>
      <w:r w:rsidR="005A56DC" w:rsidRPr="008E3910">
        <w:rPr>
          <w:rFonts w:asciiTheme="majorHAnsi" w:hAnsiTheme="majorHAnsi" w:cstheme="majorHAnsi"/>
        </w:rPr>
        <w:t xml:space="preserve">αι </w:t>
      </w:r>
      <w:proofErr w:type="spellStart"/>
      <w:r w:rsidR="005A56DC" w:rsidRPr="008E3910">
        <w:rPr>
          <w:rFonts w:asciiTheme="majorHAnsi" w:hAnsiTheme="majorHAnsi" w:cstheme="majorHAnsi"/>
        </w:rPr>
        <w:t>με</w:t>
      </w:r>
      <w:proofErr w:type="spellEnd"/>
      <w:r w:rsidR="005A56DC" w:rsidRPr="008E3910">
        <w:rPr>
          <w:rFonts w:asciiTheme="majorHAnsi" w:hAnsiTheme="majorHAnsi" w:cstheme="majorHAnsi"/>
        </w:rPr>
        <w:t xml:space="preserve"> </w:t>
      </w:r>
      <w:proofErr w:type="spellStart"/>
      <w:r w:rsidR="005A56DC" w:rsidRPr="008E3910">
        <w:rPr>
          <w:rFonts w:asciiTheme="majorHAnsi" w:hAnsiTheme="majorHAnsi" w:cstheme="majorHAnsi"/>
        </w:rPr>
        <w:t>τους</w:t>
      </w:r>
      <w:proofErr w:type="spellEnd"/>
      <w:r w:rsidR="005A56DC" w:rsidRPr="008E3910">
        <w:rPr>
          <w:rFonts w:asciiTheme="majorHAnsi" w:hAnsiTheme="majorHAnsi" w:cstheme="majorHAnsi"/>
        </w:rPr>
        <w:t xml:space="preserve"> π</w:t>
      </w:r>
      <w:proofErr w:type="spellStart"/>
      <w:r w:rsidR="005A56DC" w:rsidRPr="008E3910">
        <w:rPr>
          <w:rFonts w:asciiTheme="majorHAnsi" w:hAnsiTheme="majorHAnsi" w:cstheme="majorHAnsi"/>
        </w:rPr>
        <w:t>ρομηθευτές</w:t>
      </w:r>
      <w:proofErr w:type="spellEnd"/>
      <w:r w:rsidR="005A56DC" w:rsidRPr="008E3910">
        <w:rPr>
          <w:rFonts w:asciiTheme="majorHAnsi" w:hAnsiTheme="majorHAnsi" w:cstheme="majorHAnsi"/>
        </w:rPr>
        <w:t xml:space="preserve"> </w:t>
      </w:r>
      <w:proofErr w:type="spellStart"/>
      <w:r w:rsidR="005A56DC" w:rsidRPr="008E3910">
        <w:rPr>
          <w:rFonts w:asciiTheme="majorHAnsi" w:hAnsiTheme="majorHAnsi" w:cstheme="majorHAnsi"/>
        </w:rPr>
        <w:t>της</w:t>
      </w:r>
      <w:proofErr w:type="spellEnd"/>
      <w:r w:rsidR="005A56DC" w:rsidRPr="008E3910">
        <w:rPr>
          <w:rFonts w:asciiTheme="majorHAnsi" w:hAnsiTheme="majorHAnsi" w:cstheme="majorHAnsi"/>
        </w:rPr>
        <w:t xml:space="preserve"> </w:t>
      </w:r>
      <w:proofErr w:type="spellStart"/>
      <w:r w:rsidR="005A56DC" w:rsidRPr="008E3910">
        <w:rPr>
          <w:rFonts w:asciiTheme="majorHAnsi" w:hAnsiTheme="majorHAnsi" w:cstheme="majorHAnsi"/>
        </w:rPr>
        <w:t>γι</w:t>
      </w:r>
      <w:proofErr w:type="spellEnd"/>
      <w:r w:rsidR="005A56DC" w:rsidRPr="008E3910">
        <w:rPr>
          <w:rFonts w:asciiTheme="majorHAnsi" w:hAnsiTheme="majorHAnsi" w:cstheme="majorHAnsi"/>
        </w:rPr>
        <w:t xml:space="preserve">α </w:t>
      </w:r>
      <w:proofErr w:type="spellStart"/>
      <w:r w:rsidR="005A56DC" w:rsidRPr="008E3910">
        <w:rPr>
          <w:rFonts w:asciiTheme="majorHAnsi" w:hAnsiTheme="majorHAnsi" w:cstheme="majorHAnsi"/>
        </w:rPr>
        <w:t>τη</w:t>
      </w:r>
      <w:proofErr w:type="spellEnd"/>
      <w:r w:rsidR="005A56DC" w:rsidRPr="008E3910">
        <w:rPr>
          <w:rFonts w:asciiTheme="majorHAnsi" w:hAnsiTheme="majorHAnsi" w:cstheme="majorHAnsi"/>
        </w:rPr>
        <w:t xml:space="preserve"> </w:t>
      </w:r>
      <w:proofErr w:type="spellStart"/>
      <w:r w:rsidR="005A56DC" w:rsidRPr="008E3910">
        <w:rPr>
          <w:rFonts w:asciiTheme="majorHAnsi" w:hAnsiTheme="majorHAnsi" w:cstheme="majorHAnsi"/>
        </w:rPr>
        <w:t>δι</w:t>
      </w:r>
      <w:proofErr w:type="spellEnd"/>
      <w:r w:rsidR="005A56DC" w:rsidRPr="008E3910">
        <w:rPr>
          <w:rFonts w:asciiTheme="majorHAnsi" w:hAnsiTheme="majorHAnsi" w:cstheme="majorHAnsi"/>
        </w:rPr>
        <w:t xml:space="preserve">ασφάλιση </w:t>
      </w:r>
      <w:proofErr w:type="spellStart"/>
      <w:r w:rsidR="005A56DC" w:rsidRPr="008E3910">
        <w:rPr>
          <w:rFonts w:asciiTheme="majorHAnsi" w:hAnsiTheme="majorHAnsi" w:cstheme="majorHAnsi"/>
        </w:rPr>
        <w:t>της</w:t>
      </w:r>
      <w:proofErr w:type="spellEnd"/>
      <w:r w:rsidR="005A56DC" w:rsidRPr="008E3910">
        <w:rPr>
          <w:rFonts w:asciiTheme="majorHAnsi" w:hAnsiTheme="majorHAnsi" w:cstheme="majorHAnsi"/>
        </w:rPr>
        <w:t xml:space="preserve"> </w:t>
      </w:r>
      <w:proofErr w:type="spellStart"/>
      <w:r w:rsidR="005A56DC" w:rsidRPr="008E3910">
        <w:rPr>
          <w:rFonts w:asciiTheme="majorHAnsi" w:hAnsiTheme="majorHAnsi" w:cstheme="majorHAnsi"/>
        </w:rPr>
        <w:t>συμμόρφωσης</w:t>
      </w:r>
      <w:proofErr w:type="spellEnd"/>
      <w:r w:rsidR="005A56DC" w:rsidRPr="008E3910">
        <w:rPr>
          <w:rFonts w:asciiTheme="majorHAnsi" w:hAnsiTheme="majorHAnsi" w:cstheme="majorHAnsi"/>
        </w:rPr>
        <w:t xml:space="preserve"> </w:t>
      </w:r>
      <w:proofErr w:type="spellStart"/>
      <w:r w:rsidR="005A56DC" w:rsidRPr="008E3910">
        <w:rPr>
          <w:rFonts w:asciiTheme="majorHAnsi" w:hAnsiTheme="majorHAnsi" w:cstheme="majorHAnsi"/>
        </w:rPr>
        <w:t>των</w:t>
      </w:r>
      <w:proofErr w:type="spellEnd"/>
      <w:r w:rsidR="005A56DC" w:rsidRPr="008E3910">
        <w:rPr>
          <w:rFonts w:asciiTheme="majorHAnsi" w:hAnsiTheme="majorHAnsi" w:cstheme="majorHAnsi"/>
        </w:rPr>
        <w:t xml:space="preserve"> α</w:t>
      </w:r>
      <w:proofErr w:type="spellStart"/>
      <w:r w:rsidR="005A56DC" w:rsidRPr="008E3910">
        <w:rPr>
          <w:rFonts w:asciiTheme="majorHAnsi" w:hAnsiTheme="majorHAnsi" w:cstheme="majorHAnsi"/>
        </w:rPr>
        <w:t>ντικειμένων</w:t>
      </w:r>
      <w:proofErr w:type="spellEnd"/>
      <w:r w:rsidR="005A56DC" w:rsidRPr="008E3910">
        <w:rPr>
          <w:rFonts w:asciiTheme="majorHAnsi" w:hAnsiTheme="majorHAnsi" w:cstheme="majorHAnsi"/>
        </w:rPr>
        <w:t xml:space="preserve"> π</w:t>
      </w:r>
      <w:proofErr w:type="spellStart"/>
      <w:r w:rsidR="005A56DC" w:rsidRPr="008E3910">
        <w:rPr>
          <w:rFonts w:asciiTheme="majorHAnsi" w:hAnsiTheme="majorHAnsi" w:cstheme="majorHAnsi"/>
        </w:rPr>
        <w:t>ου</w:t>
      </w:r>
      <w:proofErr w:type="spellEnd"/>
      <w:r w:rsidR="005A56DC" w:rsidRPr="008E3910">
        <w:rPr>
          <w:rFonts w:asciiTheme="majorHAnsi" w:hAnsiTheme="majorHAnsi" w:cstheme="majorHAnsi"/>
        </w:rPr>
        <w:t xml:space="preserve"> </w:t>
      </w:r>
      <w:proofErr w:type="spellStart"/>
      <w:r w:rsidR="005A56DC" w:rsidRPr="008E3910">
        <w:rPr>
          <w:rFonts w:asciiTheme="majorHAnsi" w:hAnsiTheme="majorHAnsi" w:cstheme="majorHAnsi"/>
        </w:rPr>
        <w:t>εισάγοντ</w:t>
      </w:r>
      <w:proofErr w:type="spellEnd"/>
      <w:r w:rsidR="005A56DC" w:rsidRPr="008E3910">
        <w:rPr>
          <w:rFonts w:asciiTheme="majorHAnsi" w:hAnsiTheme="majorHAnsi" w:cstheme="majorHAnsi"/>
        </w:rPr>
        <w:t>αι ή κατα</w:t>
      </w:r>
      <w:proofErr w:type="spellStart"/>
      <w:r w:rsidR="005A56DC" w:rsidRPr="008E3910">
        <w:rPr>
          <w:rFonts w:asciiTheme="majorHAnsi" w:hAnsiTheme="majorHAnsi" w:cstheme="majorHAnsi"/>
        </w:rPr>
        <w:t>σκευάζοντ</w:t>
      </w:r>
      <w:proofErr w:type="spellEnd"/>
      <w:r w:rsidR="005A56DC" w:rsidRPr="008E3910">
        <w:rPr>
          <w:rFonts w:asciiTheme="majorHAnsi" w:hAnsiTheme="majorHAnsi" w:cstheme="majorHAnsi"/>
        </w:rPr>
        <w:t xml:space="preserve">αι </w:t>
      </w:r>
      <w:proofErr w:type="spellStart"/>
      <w:r w:rsidR="005A56DC" w:rsidRPr="008E3910">
        <w:rPr>
          <w:rFonts w:asciiTheme="majorHAnsi" w:hAnsiTheme="majorHAnsi" w:cstheme="majorHAnsi"/>
        </w:rPr>
        <w:t>εντός</w:t>
      </w:r>
      <w:proofErr w:type="spellEnd"/>
      <w:r w:rsidR="005A56DC" w:rsidRPr="008E3910">
        <w:rPr>
          <w:rFonts w:asciiTheme="majorHAnsi" w:hAnsiTheme="majorHAnsi" w:cstheme="majorHAnsi"/>
        </w:rPr>
        <w:t xml:space="preserve"> </w:t>
      </w:r>
      <w:proofErr w:type="spellStart"/>
      <w:r w:rsidR="005A56DC" w:rsidRPr="008E3910">
        <w:rPr>
          <w:rFonts w:asciiTheme="majorHAnsi" w:hAnsiTheme="majorHAnsi" w:cstheme="majorHAnsi"/>
        </w:rPr>
        <w:t>της</w:t>
      </w:r>
      <w:proofErr w:type="spellEnd"/>
      <w:r w:rsidR="005A56DC" w:rsidRPr="008E3910">
        <w:rPr>
          <w:rFonts w:asciiTheme="majorHAnsi" w:hAnsiTheme="majorHAnsi" w:cstheme="majorHAnsi"/>
        </w:rPr>
        <w:t xml:space="preserve"> </w:t>
      </w:r>
      <w:proofErr w:type="spellStart"/>
      <w:r w:rsidR="005A56DC" w:rsidRPr="008E3910">
        <w:rPr>
          <w:rFonts w:asciiTheme="majorHAnsi" w:hAnsiTheme="majorHAnsi" w:cstheme="majorHAnsi"/>
        </w:rPr>
        <w:t>Ευρω</w:t>
      </w:r>
      <w:proofErr w:type="spellEnd"/>
      <w:r w:rsidR="005A56DC" w:rsidRPr="008E3910">
        <w:rPr>
          <w:rFonts w:asciiTheme="majorHAnsi" w:hAnsiTheme="majorHAnsi" w:cstheme="majorHAnsi"/>
        </w:rPr>
        <w:t xml:space="preserve">παϊκής </w:t>
      </w:r>
      <w:proofErr w:type="spellStart"/>
      <w:r w:rsidR="005A56DC" w:rsidRPr="008E3910">
        <w:rPr>
          <w:rFonts w:asciiTheme="majorHAnsi" w:hAnsiTheme="majorHAnsi" w:cstheme="majorHAnsi"/>
        </w:rPr>
        <w:t>Ένωσης</w:t>
      </w:r>
      <w:proofErr w:type="spellEnd"/>
      <w:r w:rsidR="005A56DC" w:rsidRPr="008E3910">
        <w:rPr>
          <w:rFonts w:asciiTheme="majorHAnsi" w:hAnsiTheme="majorHAnsi" w:cstheme="majorHAnsi"/>
        </w:rPr>
        <w:t>, υπ</w:t>
      </w:r>
      <w:proofErr w:type="spellStart"/>
      <w:r w:rsidR="005A56DC" w:rsidRPr="008E3910">
        <w:rPr>
          <w:rFonts w:asciiTheme="majorHAnsi" w:hAnsiTheme="majorHAnsi" w:cstheme="majorHAnsi"/>
        </w:rPr>
        <w:t>όκειντ</w:t>
      </w:r>
      <w:proofErr w:type="spellEnd"/>
      <w:r w:rsidR="005A56DC" w:rsidRPr="008E3910">
        <w:rPr>
          <w:rFonts w:asciiTheme="majorHAnsi" w:hAnsiTheme="majorHAnsi" w:cstheme="majorHAnsi"/>
        </w:rPr>
        <w:t xml:space="preserve">αι </w:t>
      </w:r>
      <w:proofErr w:type="spellStart"/>
      <w:r w:rsidR="005A56DC" w:rsidRPr="008E3910">
        <w:rPr>
          <w:rFonts w:asciiTheme="majorHAnsi" w:hAnsiTheme="majorHAnsi" w:cstheme="majorHAnsi"/>
        </w:rPr>
        <w:t>στον</w:t>
      </w:r>
      <w:proofErr w:type="spellEnd"/>
      <w:r w:rsidR="005A56DC" w:rsidRPr="008E3910">
        <w:rPr>
          <w:rFonts w:asciiTheme="majorHAnsi" w:hAnsiTheme="majorHAnsi" w:cstheme="majorHAnsi"/>
        </w:rPr>
        <w:t xml:space="preserve"> κα</w:t>
      </w:r>
      <w:proofErr w:type="spellStart"/>
      <w:r w:rsidR="005A56DC" w:rsidRPr="008E3910">
        <w:rPr>
          <w:rFonts w:asciiTheme="majorHAnsi" w:hAnsiTheme="majorHAnsi" w:cstheme="majorHAnsi"/>
        </w:rPr>
        <w:t>νονισμό</w:t>
      </w:r>
      <w:proofErr w:type="spellEnd"/>
      <w:r w:rsidR="005A56DC" w:rsidRPr="008E3910">
        <w:rPr>
          <w:rFonts w:asciiTheme="majorHAnsi" w:hAnsiTheme="majorHAnsi" w:cstheme="majorHAnsi"/>
        </w:rPr>
        <w:t xml:space="preserve"> REACH (ΕΚ- </w:t>
      </w:r>
      <w:proofErr w:type="spellStart"/>
      <w:r w:rsidR="005A56DC" w:rsidRPr="008E3910">
        <w:rPr>
          <w:rFonts w:asciiTheme="majorHAnsi" w:hAnsiTheme="majorHAnsi" w:cstheme="majorHAnsi"/>
        </w:rPr>
        <w:t>Αρ</w:t>
      </w:r>
      <w:proofErr w:type="spellEnd"/>
      <w:r w:rsidR="005A56DC" w:rsidRPr="008E3910">
        <w:rPr>
          <w:rFonts w:asciiTheme="majorHAnsi" w:hAnsiTheme="majorHAnsi" w:cstheme="majorHAnsi"/>
        </w:rPr>
        <w:t xml:space="preserve">. 1907/2006), </w:t>
      </w:r>
      <w:proofErr w:type="spellStart"/>
      <w:r w:rsidR="005A56DC" w:rsidRPr="008E3910">
        <w:rPr>
          <w:rFonts w:asciiTheme="majorHAnsi" w:hAnsiTheme="majorHAnsi" w:cstheme="majorHAnsi"/>
        </w:rPr>
        <w:t>Άρθρο</w:t>
      </w:r>
      <w:proofErr w:type="spellEnd"/>
      <w:r w:rsidR="005A56DC" w:rsidRPr="008E3910">
        <w:rPr>
          <w:rFonts w:asciiTheme="majorHAnsi" w:hAnsiTheme="majorHAnsi" w:cstheme="majorHAnsi"/>
        </w:rPr>
        <w:t xml:space="preserve"> 33 και </w:t>
      </w:r>
      <w:proofErr w:type="spellStart"/>
      <w:r w:rsidR="005A56DC" w:rsidRPr="008E3910">
        <w:rPr>
          <w:rFonts w:asciiTheme="majorHAnsi" w:hAnsiTheme="majorHAnsi" w:cstheme="majorHAnsi"/>
        </w:rPr>
        <w:t>χρησιμο</w:t>
      </w:r>
      <w:proofErr w:type="spellEnd"/>
      <w:r w:rsidR="005A56DC" w:rsidRPr="008E3910">
        <w:rPr>
          <w:rFonts w:asciiTheme="majorHAnsi" w:hAnsiTheme="majorHAnsi" w:cstheme="majorHAnsi"/>
        </w:rPr>
        <w:t xml:space="preserve">ποιούνται </w:t>
      </w:r>
      <w:proofErr w:type="spellStart"/>
      <w:r w:rsidR="005A56DC" w:rsidRPr="008E3910">
        <w:rPr>
          <w:rFonts w:asciiTheme="majorHAnsi" w:hAnsiTheme="majorHAnsi" w:cstheme="majorHAnsi"/>
        </w:rPr>
        <w:t>γι</w:t>
      </w:r>
      <w:proofErr w:type="spellEnd"/>
      <w:r w:rsidR="005A56DC" w:rsidRPr="008E3910">
        <w:rPr>
          <w:rFonts w:asciiTheme="majorHAnsi" w:hAnsiTheme="majorHAnsi" w:cstheme="majorHAnsi"/>
        </w:rPr>
        <w:t xml:space="preserve">α </w:t>
      </w:r>
      <w:proofErr w:type="spellStart"/>
      <w:r w:rsidR="005A56DC" w:rsidRPr="008E3910">
        <w:rPr>
          <w:rFonts w:asciiTheme="majorHAnsi" w:hAnsiTheme="majorHAnsi" w:cstheme="majorHAnsi"/>
        </w:rPr>
        <w:t>την</w:t>
      </w:r>
      <w:proofErr w:type="spellEnd"/>
      <w:r w:rsidR="005A56DC" w:rsidRPr="008E3910">
        <w:rPr>
          <w:rFonts w:asciiTheme="majorHAnsi" w:hAnsiTheme="majorHAnsi" w:cstheme="majorHAnsi"/>
        </w:rPr>
        <w:t xml:space="preserve"> παρα</w:t>
      </w:r>
      <w:proofErr w:type="spellStart"/>
      <w:r w:rsidR="005A56DC" w:rsidRPr="008E3910">
        <w:rPr>
          <w:rFonts w:asciiTheme="majorHAnsi" w:hAnsiTheme="majorHAnsi" w:cstheme="majorHAnsi"/>
        </w:rPr>
        <w:t>γωγή</w:t>
      </w:r>
      <w:proofErr w:type="spellEnd"/>
      <w:r w:rsidR="005A56DC" w:rsidRPr="008E3910">
        <w:rPr>
          <w:rFonts w:asciiTheme="majorHAnsi" w:hAnsiTheme="majorHAnsi" w:cstheme="majorHAnsi"/>
        </w:rPr>
        <w:t xml:space="preserve"> </w:t>
      </w:r>
      <w:proofErr w:type="spellStart"/>
      <w:r w:rsidR="005A56DC" w:rsidRPr="008E3910">
        <w:rPr>
          <w:rFonts w:asciiTheme="majorHAnsi" w:hAnsiTheme="majorHAnsi" w:cstheme="majorHAnsi"/>
        </w:rPr>
        <w:t>των</w:t>
      </w:r>
      <w:proofErr w:type="spellEnd"/>
      <w:r w:rsidR="005A56DC" w:rsidRPr="008E3910">
        <w:rPr>
          <w:rFonts w:asciiTheme="majorHAnsi" w:hAnsiTheme="majorHAnsi" w:cstheme="majorHAnsi"/>
        </w:rPr>
        <w:t xml:space="preserve"> π</w:t>
      </w:r>
      <w:proofErr w:type="spellStart"/>
      <w:r w:rsidR="005A56DC" w:rsidRPr="008E3910">
        <w:rPr>
          <w:rFonts w:asciiTheme="majorHAnsi" w:hAnsiTheme="majorHAnsi" w:cstheme="majorHAnsi"/>
        </w:rPr>
        <w:t>ροϊόντων</w:t>
      </w:r>
      <w:proofErr w:type="spellEnd"/>
      <w:r w:rsidR="005A56DC" w:rsidRPr="008E3910">
        <w:rPr>
          <w:rFonts w:asciiTheme="majorHAnsi" w:hAnsiTheme="majorHAnsi" w:cstheme="majorHAnsi"/>
        </w:rPr>
        <w:t xml:space="preserve"> </w:t>
      </w:r>
      <w:proofErr w:type="spellStart"/>
      <w:r w:rsidR="005A56DC" w:rsidRPr="008E3910">
        <w:rPr>
          <w:rFonts w:asciiTheme="majorHAnsi" w:hAnsiTheme="majorHAnsi" w:cstheme="majorHAnsi"/>
        </w:rPr>
        <w:t>της</w:t>
      </w:r>
      <w:proofErr w:type="spellEnd"/>
      <w:r w:rsidR="005A56DC" w:rsidRPr="008E3910">
        <w:rPr>
          <w:rFonts w:asciiTheme="majorHAnsi" w:hAnsiTheme="majorHAnsi" w:cstheme="majorHAnsi"/>
        </w:rPr>
        <w:t xml:space="preserve"> GE Healthcare. </w:t>
      </w:r>
    </w:p>
    <w:p w14:paraId="6192577C" w14:textId="7C1C9668" w:rsidR="005A56DC" w:rsidRPr="008E3910" w:rsidRDefault="005A56DC" w:rsidP="008E3910">
      <w:pPr>
        <w:spacing w:after="0"/>
        <w:jc w:val="both"/>
        <w:rPr>
          <w:rFonts w:asciiTheme="majorHAnsi" w:hAnsiTheme="majorHAnsi" w:cstheme="majorHAnsi"/>
        </w:rPr>
      </w:pPr>
      <w:proofErr w:type="spellStart"/>
      <w:r w:rsidRPr="008E3910">
        <w:rPr>
          <w:rFonts w:asciiTheme="majorHAnsi" w:hAnsiTheme="majorHAnsi" w:cstheme="majorHAnsi"/>
        </w:rPr>
        <w:t>Αν</w:t>
      </w:r>
      <w:proofErr w:type="spellEnd"/>
      <w:r w:rsidRPr="008E3910">
        <w:rPr>
          <w:rFonts w:asciiTheme="majorHAnsi" w:hAnsiTheme="majorHAnsi" w:cstheme="majorHAnsi"/>
        </w:rPr>
        <w:t xml:space="preserve">αφορικά </w:t>
      </w:r>
      <w:proofErr w:type="spellStart"/>
      <w:r w:rsidRPr="008E3910">
        <w:rPr>
          <w:rFonts w:asciiTheme="majorHAnsi" w:hAnsiTheme="majorHAnsi" w:cstheme="majorHAnsi"/>
        </w:rPr>
        <w:t>με</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την</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εφ</w:t>
      </w:r>
      <w:proofErr w:type="spellEnd"/>
      <w:r w:rsidRPr="008E3910">
        <w:rPr>
          <w:rFonts w:asciiTheme="majorHAnsi" w:hAnsiTheme="majorHAnsi" w:cstheme="majorHAnsi"/>
        </w:rPr>
        <w:t xml:space="preserve">αρμογή </w:t>
      </w:r>
      <w:proofErr w:type="spellStart"/>
      <w:r w:rsidRPr="008E3910">
        <w:rPr>
          <w:rFonts w:asciiTheme="majorHAnsi" w:hAnsiTheme="majorHAnsi" w:cstheme="majorHAnsi"/>
        </w:rPr>
        <w:t>του</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Άρθρου</w:t>
      </w:r>
      <w:proofErr w:type="spellEnd"/>
      <w:r w:rsidRPr="008E3910">
        <w:rPr>
          <w:rFonts w:asciiTheme="majorHAnsi" w:hAnsiTheme="majorHAnsi" w:cstheme="majorHAnsi"/>
        </w:rPr>
        <w:t xml:space="preserve"> 33 </w:t>
      </w:r>
      <w:proofErr w:type="spellStart"/>
      <w:r w:rsidRPr="008E3910">
        <w:rPr>
          <w:rFonts w:asciiTheme="majorHAnsi" w:hAnsiTheme="majorHAnsi" w:cstheme="majorHAnsi"/>
        </w:rPr>
        <w:t>του</w:t>
      </w:r>
      <w:proofErr w:type="spellEnd"/>
      <w:r w:rsidRPr="008E3910">
        <w:rPr>
          <w:rFonts w:asciiTheme="majorHAnsi" w:hAnsiTheme="majorHAnsi" w:cstheme="majorHAnsi"/>
        </w:rPr>
        <w:t xml:space="preserve"> κα</w:t>
      </w:r>
      <w:proofErr w:type="spellStart"/>
      <w:r w:rsidRPr="008E3910">
        <w:rPr>
          <w:rFonts w:asciiTheme="majorHAnsi" w:hAnsiTheme="majorHAnsi" w:cstheme="majorHAnsi"/>
        </w:rPr>
        <w:t>νονισμού</w:t>
      </w:r>
      <w:proofErr w:type="spellEnd"/>
      <w:r w:rsidRPr="008E3910">
        <w:rPr>
          <w:rFonts w:asciiTheme="majorHAnsi" w:hAnsiTheme="majorHAnsi" w:cstheme="majorHAnsi"/>
        </w:rPr>
        <w:t xml:space="preserve"> REACH και </w:t>
      </w:r>
      <w:proofErr w:type="spellStart"/>
      <w:r w:rsidRPr="008E3910">
        <w:rPr>
          <w:rFonts w:asciiTheme="majorHAnsi" w:hAnsiTheme="majorHAnsi" w:cstheme="majorHAnsi"/>
        </w:rPr>
        <w:t>τη</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δημοσίευση</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του</w:t>
      </w:r>
      <w:proofErr w:type="spellEnd"/>
      <w:r w:rsidRPr="008E3910">
        <w:rPr>
          <w:rFonts w:asciiTheme="majorHAnsi" w:hAnsiTheme="majorHAnsi" w:cstheme="majorHAnsi"/>
        </w:rPr>
        <w:t xml:space="preserve"> Κατα</w:t>
      </w:r>
      <w:proofErr w:type="spellStart"/>
      <w:r w:rsidRPr="008E3910">
        <w:rPr>
          <w:rFonts w:asciiTheme="majorHAnsi" w:hAnsiTheme="majorHAnsi" w:cstheme="majorHAnsi"/>
        </w:rPr>
        <w:t>λόγου</w:t>
      </w:r>
      <w:proofErr w:type="spellEnd"/>
      <w:r w:rsidRPr="008E3910">
        <w:rPr>
          <w:rFonts w:asciiTheme="majorHAnsi" w:hAnsiTheme="majorHAnsi" w:cstheme="majorHAnsi"/>
        </w:rPr>
        <w:t xml:space="preserve"> υπ</w:t>
      </w:r>
      <w:proofErr w:type="spellStart"/>
      <w:r w:rsidRPr="008E3910">
        <w:rPr>
          <w:rFonts w:asciiTheme="majorHAnsi" w:hAnsiTheme="majorHAnsi" w:cstheme="majorHAnsi"/>
        </w:rPr>
        <w:t>οψήφιων</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ουσιών</w:t>
      </w:r>
      <w:proofErr w:type="spellEnd"/>
      <w:r w:rsidRPr="008E3910">
        <w:rPr>
          <w:rFonts w:asciiTheme="majorHAnsi" w:hAnsiTheme="majorHAnsi" w:cstheme="majorHAnsi"/>
        </w:rPr>
        <w:t xml:space="preserve"> π</w:t>
      </w:r>
      <w:proofErr w:type="spellStart"/>
      <w:r w:rsidRPr="008E3910">
        <w:rPr>
          <w:rFonts w:asciiTheme="majorHAnsi" w:hAnsiTheme="majorHAnsi" w:cstheme="majorHAnsi"/>
        </w:rPr>
        <w:t>ου</w:t>
      </w:r>
      <w:proofErr w:type="spellEnd"/>
      <w:r w:rsidRPr="008E3910">
        <w:rPr>
          <w:rFonts w:asciiTheme="majorHAnsi" w:hAnsiTheme="majorHAnsi" w:cstheme="majorHAnsi"/>
        </w:rPr>
        <w:t xml:space="preserve"> π</w:t>
      </w:r>
      <w:proofErr w:type="spellStart"/>
      <w:r w:rsidRPr="008E3910">
        <w:rPr>
          <w:rFonts w:asciiTheme="majorHAnsi" w:hAnsiTheme="majorHAnsi" w:cstheme="majorHAnsi"/>
        </w:rPr>
        <w:t>ροκ</w:t>
      </w:r>
      <w:proofErr w:type="spellEnd"/>
      <w:r w:rsidRPr="008E3910">
        <w:rPr>
          <w:rFonts w:asciiTheme="majorHAnsi" w:hAnsiTheme="majorHAnsi" w:cstheme="majorHAnsi"/>
        </w:rPr>
        <w:t>αλούν π</w:t>
      </w:r>
      <w:proofErr w:type="spellStart"/>
      <w:r w:rsidRPr="008E3910">
        <w:rPr>
          <w:rFonts w:asciiTheme="majorHAnsi" w:hAnsiTheme="majorHAnsi" w:cstheme="majorHAnsi"/>
        </w:rPr>
        <w:t>ολύ</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μεγάλη</w:t>
      </w:r>
      <w:proofErr w:type="spellEnd"/>
      <w:r w:rsidRPr="008E3910">
        <w:rPr>
          <w:rFonts w:asciiTheme="majorHAnsi" w:hAnsiTheme="majorHAnsi" w:cstheme="majorHAnsi"/>
        </w:rPr>
        <w:t xml:space="preserve"> α</w:t>
      </w:r>
      <w:proofErr w:type="spellStart"/>
      <w:r w:rsidRPr="008E3910">
        <w:rPr>
          <w:rFonts w:asciiTheme="majorHAnsi" w:hAnsiTheme="majorHAnsi" w:cstheme="majorHAnsi"/>
        </w:rPr>
        <w:t>νησυχί</w:t>
      </w:r>
      <w:proofErr w:type="spellEnd"/>
      <w:r w:rsidRPr="008E3910">
        <w:rPr>
          <w:rFonts w:asciiTheme="majorHAnsi" w:hAnsiTheme="majorHAnsi" w:cstheme="majorHAnsi"/>
        </w:rPr>
        <w:t xml:space="preserve">α (Candidate List of Substances of Very High Concern, SVHC) </w:t>
      </w:r>
      <w:proofErr w:type="spellStart"/>
      <w:r w:rsidRPr="008E3910">
        <w:rPr>
          <w:rFonts w:asciiTheme="majorHAnsi" w:hAnsiTheme="majorHAnsi" w:cstheme="majorHAnsi"/>
        </w:rPr>
        <w:t>σύμφων</w:t>
      </w:r>
      <w:proofErr w:type="spellEnd"/>
      <w:r w:rsidRPr="008E3910">
        <w:rPr>
          <w:rFonts w:asciiTheme="majorHAnsi" w:hAnsiTheme="majorHAnsi" w:cstheme="majorHAnsi"/>
        </w:rPr>
        <w:t xml:space="preserve">α </w:t>
      </w:r>
      <w:proofErr w:type="spellStart"/>
      <w:r w:rsidRPr="008E3910">
        <w:rPr>
          <w:rFonts w:asciiTheme="majorHAnsi" w:hAnsiTheme="majorHAnsi" w:cstheme="majorHAnsi"/>
        </w:rPr>
        <w:t>με</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το</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Άρθρο</w:t>
      </w:r>
      <w:proofErr w:type="spellEnd"/>
      <w:r w:rsidRPr="008E3910">
        <w:rPr>
          <w:rFonts w:asciiTheme="majorHAnsi" w:hAnsiTheme="majorHAnsi" w:cstheme="majorHAnsi"/>
        </w:rPr>
        <w:t xml:space="preserve"> 59 </w:t>
      </w:r>
      <w:proofErr w:type="spellStart"/>
      <w:r w:rsidRPr="008E3910">
        <w:rPr>
          <w:rFonts w:asciiTheme="majorHAnsi" w:hAnsiTheme="majorHAnsi" w:cstheme="majorHAnsi"/>
        </w:rPr>
        <w:t>του</w:t>
      </w:r>
      <w:proofErr w:type="spellEnd"/>
      <w:r w:rsidRPr="008E3910">
        <w:rPr>
          <w:rFonts w:asciiTheme="majorHAnsi" w:hAnsiTheme="majorHAnsi" w:cstheme="majorHAnsi"/>
        </w:rPr>
        <w:t xml:space="preserve"> κα</w:t>
      </w:r>
      <w:proofErr w:type="spellStart"/>
      <w:r w:rsidRPr="008E3910">
        <w:rPr>
          <w:rFonts w:asciiTheme="majorHAnsi" w:hAnsiTheme="majorHAnsi" w:cstheme="majorHAnsi"/>
        </w:rPr>
        <w:t>νονισμού</w:t>
      </w:r>
      <w:proofErr w:type="spellEnd"/>
      <w:r w:rsidRPr="008E3910">
        <w:rPr>
          <w:rFonts w:asciiTheme="majorHAnsi" w:hAnsiTheme="majorHAnsi" w:cstheme="majorHAnsi"/>
        </w:rPr>
        <w:t xml:space="preserve"> REACH, η GE Healthcare </w:t>
      </w:r>
      <w:proofErr w:type="spellStart"/>
      <w:r w:rsidRPr="008E3910">
        <w:rPr>
          <w:rFonts w:asciiTheme="majorHAnsi" w:hAnsiTheme="majorHAnsi" w:cstheme="majorHAnsi"/>
        </w:rPr>
        <w:t>έχει</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λά</w:t>
      </w:r>
      <w:proofErr w:type="spellEnd"/>
      <w:r w:rsidRPr="008E3910">
        <w:rPr>
          <w:rFonts w:asciiTheme="majorHAnsi" w:hAnsiTheme="majorHAnsi" w:cstheme="majorHAnsi"/>
        </w:rPr>
        <w:t xml:space="preserve">βει </w:t>
      </w:r>
      <w:proofErr w:type="spellStart"/>
      <w:r w:rsidRPr="008E3910">
        <w:rPr>
          <w:rFonts w:asciiTheme="majorHAnsi" w:hAnsiTheme="majorHAnsi" w:cstheme="majorHAnsi"/>
        </w:rPr>
        <w:t>γνώση</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των</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νομίμων</w:t>
      </w:r>
      <w:proofErr w:type="spellEnd"/>
      <w:r w:rsidRPr="008E3910">
        <w:rPr>
          <w:rFonts w:asciiTheme="majorHAnsi" w:hAnsiTheme="majorHAnsi" w:cstheme="majorHAnsi"/>
        </w:rPr>
        <w:t xml:space="preserve"> υπ</w:t>
      </w:r>
      <w:proofErr w:type="spellStart"/>
      <w:r w:rsidRPr="008E3910">
        <w:rPr>
          <w:rFonts w:asciiTheme="majorHAnsi" w:hAnsiTheme="majorHAnsi" w:cstheme="majorHAnsi"/>
        </w:rPr>
        <w:t>οχρεώσεών</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της</w:t>
      </w:r>
      <w:proofErr w:type="spellEnd"/>
      <w:r w:rsidRPr="008E3910">
        <w:rPr>
          <w:rFonts w:asciiTheme="majorHAnsi" w:hAnsiTheme="majorHAnsi" w:cstheme="majorHAnsi"/>
        </w:rPr>
        <w:t xml:space="preserve"> και θα </w:t>
      </w:r>
      <w:proofErr w:type="spellStart"/>
      <w:r w:rsidRPr="008E3910">
        <w:rPr>
          <w:rFonts w:asciiTheme="majorHAnsi" w:hAnsiTheme="majorHAnsi" w:cstheme="majorHAnsi"/>
        </w:rPr>
        <w:t>συμμορφώνετ</w:t>
      </w:r>
      <w:proofErr w:type="spellEnd"/>
      <w:r w:rsidRPr="008E3910">
        <w:rPr>
          <w:rFonts w:asciiTheme="majorHAnsi" w:hAnsiTheme="majorHAnsi" w:cstheme="majorHAnsi"/>
        </w:rPr>
        <w:t xml:space="preserve">αι </w:t>
      </w:r>
      <w:proofErr w:type="spellStart"/>
      <w:r w:rsidRPr="008E3910">
        <w:rPr>
          <w:rFonts w:asciiTheme="majorHAnsi" w:hAnsiTheme="majorHAnsi" w:cstheme="majorHAnsi"/>
        </w:rPr>
        <w:t>με</w:t>
      </w:r>
      <w:proofErr w:type="spellEnd"/>
      <w:r w:rsidRPr="008E3910">
        <w:rPr>
          <w:rFonts w:asciiTheme="majorHAnsi" w:hAnsiTheme="majorHAnsi" w:cstheme="majorHAnsi"/>
        </w:rPr>
        <w:t xml:space="preserve"> α</w:t>
      </w:r>
      <w:proofErr w:type="spellStart"/>
      <w:r w:rsidRPr="008E3910">
        <w:rPr>
          <w:rFonts w:asciiTheme="majorHAnsi" w:hAnsiTheme="majorHAnsi" w:cstheme="majorHAnsi"/>
        </w:rPr>
        <w:t>υτές</w:t>
      </w:r>
      <w:proofErr w:type="spellEnd"/>
      <w:r w:rsidRPr="008E3910">
        <w:rPr>
          <w:rFonts w:asciiTheme="majorHAnsi" w:hAnsiTheme="majorHAnsi" w:cstheme="majorHAnsi"/>
        </w:rPr>
        <w:t xml:space="preserve">. </w:t>
      </w:r>
    </w:p>
    <w:p w14:paraId="46332C81" w14:textId="77777777" w:rsidR="005A56DC" w:rsidRPr="008E3910" w:rsidRDefault="005A56DC" w:rsidP="008E3910">
      <w:pPr>
        <w:spacing w:after="0"/>
        <w:jc w:val="both"/>
        <w:rPr>
          <w:rFonts w:asciiTheme="majorHAnsi" w:hAnsiTheme="majorHAnsi" w:cstheme="majorHAnsi"/>
        </w:rPr>
      </w:pPr>
      <w:r w:rsidRPr="008E3910">
        <w:rPr>
          <w:rFonts w:asciiTheme="majorHAnsi" w:hAnsiTheme="majorHAnsi" w:cstheme="majorHAnsi"/>
        </w:rPr>
        <w:t>Τα α</w:t>
      </w:r>
      <w:proofErr w:type="spellStart"/>
      <w:r w:rsidRPr="008E3910">
        <w:rPr>
          <w:rFonts w:asciiTheme="majorHAnsi" w:hAnsiTheme="majorHAnsi" w:cstheme="majorHAnsi"/>
        </w:rPr>
        <w:t>ντικείμεν</w:t>
      </w:r>
      <w:proofErr w:type="spellEnd"/>
      <w:r w:rsidRPr="008E3910">
        <w:rPr>
          <w:rFonts w:asciiTheme="majorHAnsi" w:hAnsiTheme="majorHAnsi" w:cstheme="majorHAnsi"/>
        </w:rPr>
        <w:t xml:space="preserve">α </w:t>
      </w:r>
      <w:proofErr w:type="spellStart"/>
      <w:r w:rsidRPr="008E3910">
        <w:rPr>
          <w:rFonts w:asciiTheme="majorHAnsi" w:hAnsiTheme="majorHAnsi" w:cstheme="majorHAnsi"/>
        </w:rPr>
        <w:t>της</w:t>
      </w:r>
      <w:proofErr w:type="spellEnd"/>
      <w:r w:rsidRPr="008E3910">
        <w:rPr>
          <w:rFonts w:asciiTheme="majorHAnsi" w:hAnsiTheme="majorHAnsi" w:cstheme="majorHAnsi"/>
        </w:rPr>
        <w:t xml:space="preserve"> GE Healthcare </w:t>
      </w:r>
      <w:proofErr w:type="spellStart"/>
      <w:r w:rsidRPr="008E3910">
        <w:rPr>
          <w:rFonts w:asciiTheme="majorHAnsi" w:hAnsiTheme="majorHAnsi" w:cstheme="majorHAnsi"/>
        </w:rPr>
        <w:t>δεν</w:t>
      </w:r>
      <w:proofErr w:type="spellEnd"/>
      <w:r w:rsidRPr="008E3910">
        <w:rPr>
          <w:rFonts w:asciiTheme="majorHAnsi" w:hAnsiTheme="majorHAnsi" w:cstheme="majorHAnsi"/>
        </w:rPr>
        <w:t xml:space="preserve"> "απ</w:t>
      </w:r>
      <w:proofErr w:type="spellStart"/>
      <w:r w:rsidRPr="008E3910">
        <w:rPr>
          <w:rFonts w:asciiTheme="majorHAnsi" w:hAnsiTheme="majorHAnsi" w:cstheme="majorHAnsi"/>
        </w:rPr>
        <w:t>ελευθερώνουν</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εκουσίως</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ουσίες</w:t>
      </w:r>
      <w:proofErr w:type="spellEnd"/>
      <w:r w:rsidRPr="008E3910">
        <w:rPr>
          <w:rFonts w:asciiTheme="majorHAnsi" w:hAnsiTheme="majorHAnsi" w:cstheme="majorHAnsi"/>
        </w:rPr>
        <w:t xml:space="preserve"> υπό κα</w:t>
      </w:r>
      <w:proofErr w:type="spellStart"/>
      <w:r w:rsidRPr="008E3910">
        <w:rPr>
          <w:rFonts w:asciiTheme="majorHAnsi" w:hAnsiTheme="majorHAnsi" w:cstheme="majorHAnsi"/>
        </w:rPr>
        <w:t>νονικές</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συνθήκες</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χρήσης</w:t>
      </w:r>
      <w:proofErr w:type="spellEnd"/>
      <w:r w:rsidRPr="008E3910">
        <w:rPr>
          <w:rFonts w:asciiTheme="majorHAnsi" w:hAnsiTheme="majorHAnsi" w:cstheme="majorHAnsi"/>
        </w:rPr>
        <w:t xml:space="preserve">. </w:t>
      </w:r>
    </w:p>
    <w:p w14:paraId="343F1F64" w14:textId="6667B1AF" w:rsidR="001D2DAA" w:rsidRPr="008E3910" w:rsidRDefault="00D716F3" w:rsidP="008E3910">
      <w:pPr>
        <w:spacing w:after="0"/>
        <w:jc w:val="both"/>
        <w:rPr>
          <w:rFonts w:asciiTheme="majorHAnsi" w:hAnsiTheme="majorHAnsi" w:cstheme="majorHAnsi"/>
        </w:rPr>
      </w:pPr>
      <w:proofErr w:type="spellStart"/>
      <w:r w:rsidRPr="008E3910">
        <w:rPr>
          <w:rFonts w:asciiTheme="majorHAnsi" w:hAnsiTheme="majorHAnsi" w:cstheme="majorHAnsi"/>
        </w:rPr>
        <w:t>Βάσει</w:t>
      </w:r>
      <w:proofErr w:type="spellEnd"/>
      <w:r w:rsidRPr="008E3910">
        <w:rPr>
          <w:rFonts w:asciiTheme="majorHAnsi" w:hAnsiTheme="majorHAnsi" w:cstheme="majorHAnsi"/>
        </w:rPr>
        <w:t xml:space="preserve"> π</w:t>
      </w:r>
      <w:proofErr w:type="spellStart"/>
      <w:r w:rsidRPr="008E3910">
        <w:rPr>
          <w:rFonts w:asciiTheme="majorHAnsi" w:hAnsiTheme="majorHAnsi" w:cstheme="majorHAnsi"/>
        </w:rPr>
        <w:t>ληροφοριών</w:t>
      </w:r>
      <w:proofErr w:type="spellEnd"/>
      <w:r w:rsidRPr="008E3910">
        <w:rPr>
          <w:rFonts w:asciiTheme="majorHAnsi" w:hAnsiTheme="majorHAnsi" w:cstheme="majorHAnsi"/>
        </w:rPr>
        <w:t xml:space="preserve"> από </w:t>
      </w:r>
      <w:proofErr w:type="spellStart"/>
      <w:r w:rsidRPr="008E3910">
        <w:rPr>
          <w:rFonts w:asciiTheme="majorHAnsi" w:hAnsiTheme="majorHAnsi" w:cstheme="majorHAnsi"/>
        </w:rPr>
        <w:t>τους</w:t>
      </w:r>
      <w:proofErr w:type="spellEnd"/>
      <w:r w:rsidRPr="008E3910">
        <w:rPr>
          <w:rFonts w:asciiTheme="majorHAnsi" w:hAnsiTheme="majorHAnsi" w:cstheme="majorHAnsi"/>
        </w:rPr>
        <w:t xml:space="preserve"> π</w:t>
      </w:r>
      <w:proofErr w:type="spellStart"/>
      <w:r w:rsidRPr="008E3910">
        <w:rPr>
          <w:rFonts w:asciiTheme="majorHAnsi" w:hAnsiTheme="majorHAnsi" w:cstheme="majorHAnsi"/>
        </w:rPr>
        <w:t>ρομηθευτές</w:t>
      </w:r>
      <w:proofErr w:type="spellEnd"/>
      <w:r w:rsidRPr="008E3910">
        <w:rPr>
          <w:rFonts w:asciiTheme="majorHAnsi" w:hAnsiTheme="majorHAnsi" w:cstheme="majorHAnsi"/>
        </w:rPr>
        <w:t xml:space="preserve"> μας </w:t>
      </w:r>
      <w:proofErr w:type="spellStart"/>
      <w:r w:rsidRPr="008E3910">
        <w:rPr>
          <w:rFonts w:asciiTheme="majorHAnsi" w:hAnsiTheme="majorHAnsi" w:cstheme="majorHAnsi"/>
        </w:rPr>
        <w:t>έως</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σήμερ</w:t>
      </w:r>
      <w:proofErr w:type="spellEnd"/>
      <w:r w:rsidRPr="008E3910">
        <w:rPr>
          <w:rFonts w:asciiTheme="majorHAnsi" w:hAnsiTheme="majorHAnsi" w:cstheme="majorHAnsi"/>
        </w:rPr>
        <w:t>α, α</w:t>
      </w:r>
      <w:proofErr w:type="spellStart"/>
      <w:r w:rsidRPr="008E3910">
        <w:rPr>
          <w:rFonts w:asciiTheme="majorHAnsi" w:hAnsiTheme="majorHAnsi" w:cstheme="majorHAnsi"/>
        </w:rPr>
        <w:t>υτές</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οι</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ουσίες</w:t>
      </w:r>
      <w:proofErr w:type="spellEnd"/>
      <w:r w:rsidRPr="008E3910">
        <w:rPr>
          <w:rFonts w:asciiTheme="majorHAnsi" w:hAnsiTheme="majorHAnsi" w:cstheme="majorHAnsi"/>
        </w:rPr>
        <w:t xml:space="preserve"> υπ</w:t>
      </w:r>
      <w:proofErr w:type="spellStart"/>
      <w:r w:rsidRPr="008E3910">
        <w:rPr>
          <w:rFonts w:asciiTheme="majorHAnsi" w:hAnsiTheme="majorHAnsi" w:cstheme="majorHAnsi"/>
        </w:rPr>
        <w:t>άρχουν</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στ</w:t>
      </w:r>
      <w:proofErr w:type="spellEnd"/>
      <w:r w:rsidRPr="008E3910">
        <w:rPr>
          <w:rFonts w:asciiTheme="majorHAnsi" w:hAnsiTheme="majorHAnsi" w:cstheme="majorHAnsi"/>
        </w:rPr>
        <w:t>α παρα</w:t>
      </w:r>
      <w:proofErr w:type="spellStart"/>
      <w:r w:rsidRPr="008E3910">
        <w:rPr>
          <w:rFonts w:asciiTheme="majorHAnsi" w:hAnsiTheme="majorHAnsi" w:cstheme="majorHAnsi"/>
        </w:rPr>
        <w:t>κάτω</w:t>
      </w:r>
      <w:proofErr w:type="spellEnd"/>
      <w:r w:rsidRPr="008E3910">
        <w:rPr>
          <w:rFonts w:asciiTheme="majorHAnsi" w:hAnsiTheme="majorHAnsi" w:cstheme="majorHAnsi"/>
        </w:rPr>
        <w:t xml:space="preserve"> π</w:t>
      </w:r>
      <w:proofErr w:type="spellStart"/>
      <w:r w:rsidRPr="008E3910">
        <w:rPr>
          <w:rFonts w:asciiTheme="majorHAnsi" w:hAnsiTheme="majorHAnsi" w:cstheme="majorHAnsi"/>
        </w:rPr>
        <w:t>ροϊόντ</w:t>
      </w:r>
      <w:proofErr w:type="spellEnd"/>
      <w:r w:rsidRPr="008E3910">
        <w:rPr>
          <w:rFonts w:asciiTheme="majorHAnsi" w:hAnsiTheme="majorHAnsi" w:cstheme="majorHAnsi"/>
        </w:rPr>
        <w:t xml:space="preserve">α </w:t>
      </w:r>
      <w:proofErr w:type="spellStart"/>
      <w:r w:rsidRPr="008E3910">
        <w:rPr>
          <w:rFonts w:asciiTheme="majorHAnsi" w:hAnsiTheme="majorHAnsi" w:cstheme="majorHAnsi"/>
        </w:rPr>
        <w:t>σε</w:t>
      </w:r>
      <w:proofErr w:type="spellEnd"/>
      <w:r w:rsidRPr="008E3910">
        <w:rPr>
          <w:rFonts w:asciiTheme="majorHAnsi" w:hAnsiTheme="majorHAnsi" w:cstheme="majorHAnsi"/>
        </w:rPr>
        <w:t xml:space="preserve"> π</w:t>
      </w:r>
      <w:proofErr w:type="spellStart"/>
      <w:r w:rsidRPr="008E3910">
        <w:rPr>
          <w:rFonts w:asciiTheme="majorHAnsi" w:hAnsiTheme="majorHAnsi" w:cstheme="majorHAnsi"/>
        </w:rPr>
        <w:t>οσοστό</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συγκέντρωσης</w:t>
      </w:r>
      <w:proofErr w:type="spellEnd"/>
      <w:r w:rsidRPr="008E3910">
        <w:rPr>
          <w:rFonts w:asciiTheme="majorHAnsi" w:hAnsiTheme="majorHAnsi" w:cstheme="majorHAnsi"/>
        </w:rPr>
        <w:t xml:space="preserve"> π</w:t>
      </w:r>
      <w:proofErr w:type="spellStart"/>
      <w:r w:rsidRPr="008E3910">
        <w:rPr>
          <w:rFonts w:asciiTheme="majorHAnsi" w:hAnsiTheme="majorHAnsi" w:cstheme="majorHAnsi"/>
        </w:rPr>
        <w:t>ου</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ενδέχετ</w:t>
      </w:r>
      <w:proofErr w:type="spellEnd"/>
      <w:r w:rsidRPr="008E3910">
        <w:rPr>
          <w:rFonts w:asciiTheme="majorHAnsi" w:hAnsiTheme="majorHAnsi" w:cstheme="majorHAnsi"/>
        </w:rPr>
        <w:t xml:space="preserve">αι να </w:t>
      </w:r>
      <w:proofErr w:type="spellStart"/>
      <w:r w:rsidRPr="008E3910">
        <w:rPr>
          <w:rFonts w:asciiTheme="majorHAnsi" w:hAnsiTheme="majorHAnsi" w:cstheme="majorHAnsi"/>
        </w:rPr>
        <w:t>είν</w:t>
      </w:r>
      <w:proofErr w:type="spellEnd"/>
      <w:r w:rsidRPr="008E3910">
        <w:rPr>
          <w:rFonts w:asciiTheme="majorHAnsi" w:hAnsiTheme="majorHAnsi" w:cstheme="majorHAnsi"/>
        </w:rPr>
        <w:t xml:space="preserve">αι </w:t>
      </w:r>
      <w:proofErr w:type="spellStart"/>
      <w:r w:rsidRPr="008E3910">
        <w:rPr>
          <w:rFonts w:asciiTheme="majorHAnsi" w:hAnsiTheme="majorHAnsi" w:cstheme="majorHAnsi"/>
        </w:rPr>
        <w:t>μεγ</w:t>
      </w:r>
      <w:proofErr w:type="spellEnd"/>
      <w:r w:rsidRPr="008E3910">
        <w:rPr>
          <w:rFonts w:asciiTheme="majorHAnsi" w:hAnsiTheme="majorHAnsi" w:cstheme="majorHAnsi"/>
        </w:rPr>
        <w:t xml:space="preserve">αλύτερο από </w:t>
      </w:r>
      <w:proofErr w:type="spellStart"/>
      <w:r w:rsidRPr="008E3910">
        <w:rPr>
          <w:rFonts w:asciiTheme="majorHAnsi" w:hAnsiTheme="majorHAnsi" w:cstheme="majorHAnsi"/>
        </w:rPr>
        <w:t>το</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όριο</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του</w:t>
      </w:r>
      <w:proofErr w:type="spellEnd"/>
      <w:r w:rsidRPr="008E3910">
        <w:rPr>
          <w:rFonts w:asciiTheme="majorHAnsi" w:hAnsiTheme="majorHAnsi" w:cstheme="majorHAnsi"/>
        </w:rPr>
        <w:t xml:space="preserve"> 0,1% β</w:t>
      </w:r>
      <w:proofErr w:type="spellStart"/>
      <w:r w:rsidRPr="008E3910">
        <w:rPr>
          <w:rFonts w:asciiTheme="majorHAnsi" w:hAnsiTheme="majorHAnsi" w:cstheme="majorHAnsi"/>
        </w:rPr>
        <w:t>άρος</w:t>
      </w:r>
      <w:proofErr w:type="spellEnd"/>
      <w:r w:rsidRPr="008E3910">
        <w:rPr>
          <w:rFonts w:asciiTheme="majorHAnsi" w:hAnsiTheme="majorHAnsi" w:cstheme="majorHAnsi"/>
        </w:rPr>
        <w:t xml:space="preserve"> π</w:t>
      </w:r>
      <w:proofErr w:type="spellStart"/>
      <w:r w:rsidRPr="008E3910">
        <w:rPr>
          <w:rFonts w:asciiTheme="majorHAnsi" w:hAnsiTheme="majorHAnsi" w:cstheme="majorHAnsi"/>
        </w:rPr>
        <w:t>ρος</w:t>
      </w:r>
      <w:proofErr w:type="spellEnd"/>
      <w:r w:rsidRPr="008E3910">
        <w:rPr>
          <w:rFonts w:asciiTheme="majorHAnsi" w:hAnsiTheme="majorHAnsi" w:cstheme="majorHAnsi"/>
        </w:rPr>
        <w:t xml:space="preserve"> β</w:t>
      </w:r>
      <w:proofErr w:type="spellStart"/>
      <w:r w:rsidRPr="008E3910">
        <w:rPr>
          <w:rFonts w:asciiTheme="majorHAnsi" w:hAnsiTheme="majorHAnsi" w:cstheme="majorHAnsi"/>
        </w:rPr>
        <w:t>άρος</w:t>
      </w:r>
      <w:proofErr w:type="spellEnd"/>
      <w:r w:rsidRPr="008E3910">
        <w:rPr>
          <w:rFonts w:asciiTheme="majorHAnsi" w:hAnsiTheme="majorHAnsi" w:cstheme="majorHAnsi"/>
        </w:rPr>
        <w:t xml:space="preserve"> </w:t>
      </w:r>
      <w:proofErr w:type="spellStart"/>
      <w:r w:rsidRPr="008E3910">
        <w:rPr>
          <w:rFonts w:asciiTheme="majorHAnsi" w:hAnsiTheme="majorHAnsi" w:cstheme="majorHAnsi"/>
        </w:rPr>
        <w:t>σε</w:t>
      </w:r>
      <w:proofErr w:type="spellEnd"/>
      <w:r w:rsidRPr="008E3910">
        <w:rPr>
          <w:rFonts w:asciiTheme="majorHAnsi" w:hAnsiTheme="majorHAnsi" w:cstheme="majorHAnsi"/>
        </w:rPr>
        <w:t xml:space="preserve"> επίπ</w:t>
      </w:r>
      <w:proofErr w:type="spellStart"/>
      <w:r w:rsidRPr="008E3910">
        <w:rPr>
          <w:rFonts w:asciiTheme="majorHAnsi" w:hAnsiTheme="majorHAnsi" w:cstheme="majorHAnsi"/>
        </w:rPr>
        <w:t>εδο</w:t>
      </w:r>
      <w:proofErr w:type="spellEnd"/>
      <w:r w:rsidRPr="008E3910">
        <w:rPr>
          <w:rFonts w:asciiTheme="majorHAnsi" w:hAnsiTheme="majorHAnsi" w:cstheme="majorHAnsi"/>
        </w:rPr>
        <w:t xml:space="preserve"> α</w:t>
      </w:r>
      <w:proofErr w:type="spellStart"/>
      <w:r w:rsidRPr="008E3910">
        <w:rPr>
          <w:rFonts w:asciiTheme="majorHAnsi" w:hAnsiTheme="majorHAnsi" w:cstheme="majorHAnsi"/>
        </w:rPr>
        <w:t>ντικειμένου</w:t>
      </w:r>
      <w:proofErr w:type="spellEnd"/>
      <w:r w:rsidRPr="008E3910">
        <w:rPr>
          <w:rFonts w:asciiTheme="majorHAnsi" w:hAnsiTheme="majorHAnsi" w:cstheme="majorHAnsi"/>
        </w:rPr>
        <w:t>:</w:t>
      </w:r>
    </w:p>
    <w:p w14:paraId="74A40096" w14:textId="77777777" w:rsidR="005A56DC" w:rsidRPr="006706BE" w:rsidRDefault="005A56DC" w:rsidP="005A56DC">
      <w:pPr>
        <w:spacing w:after="0"/>
        <w:rPr>
          <w:rFonts w:asciiTheme="majorHAnsi" w:hAnsiTheme="majorHAnsi" w:cstheme="majorHAnsi"/>
          <w:color w:val="ED7D31" w:themeColor="accent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01C60A8F" w14:textId="77777777" w:rsidTr="00636C30">
        <w:trPr>
          <w:trHeight w:val="290"/>
        </w:trPr>
        <w:tc>
          <w:tcPr>
            <w:tcW w:w="1413" w:type="dxa"/>
            <w:noWrap/>
          </w:tcPr>
          <w:p w14:paraId="52B782B6" w14:textId="77777777" w:rsidR="001D2DAA" w:rsidRPr="006F53B6" w:rsidRDefault="005A56DC"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Όνομ</w:t>
            </w:r>
            <w:proofErr w:type="spellEnd"/>
            <w:r w:rsidRPr="006F53B6">
              <w:rPr>
                <w:rFonts w:asciiTheme="majorHAnsi" w:hAnsiTheme="majorHAnsi" w:cstheme="majorHAnsi"/>
                <w:b/>
                <w:bCs/>
              </w:rPr>
              <w:t>α π</w:t>
            </w:r>
            <w:proofErr w:type="spellStart"/>
            <w:r w:rsidRPr="006F53B6">
              <w:rPr>
                <w:rFonts w:asciiTheme="majorHAnsi" w:hAnsiTheme="majorHAnsi" w:cstheme="majorHAnsi"/>
                <w:b/>
                <w:bCs/>
              </w:rPr>
              <w:t>ροϊόντος</w:t>
            </w:r>
            <w:proofErr w:type="spellEnd"/>
          </w:p>
        </w:tc>
        <w:tc>
          <w:tcPr>
            <w:tcW w:w="5953" w:type="dxa"/>
          </w:tcPr>
          <w:p w14:paraId="651E62A5" w14:textId="77777777" w:rsidR="001D2DAA" w:rsidRPr="006F53B6" w:rsidRDefault="005A56DC"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Ονομ</w:t>
            </w:r>
            <w:proofErr w:type="spellEnd"/>
            <w:r w:rsidRPr="006F53B6">
              <w:rPr>
                <w:rFonts w:asciiTheme="majorHAnsi" w:hAnsiTheme="majorHAnsi" w:cstheme="majorHAnsi"/>
                <w:b/>
                <w:bCs/>
              </w:rPr>
              <w:t xml:space="preserve">ασία </w:t>
            </w:r>
            <w:proofErr w:type="spellStart"/>
            <w:r w:rsidRPr="006F53B6">
              <w:rPr>
                <w:rFonts w:asciiTheme="majorHAnsi" w:hAnsiTheme="majorHAnsi" w:cstheme="majorHAnsi"/>
                <w:b/>
                <w:bCs/>
              </w:rPr>
              <w:t>ουσί</w:t>
            </w:r>
            <w:proofErr w:type="spellEnd"/>
            <w:r w:rsidRPr="006F53B6">
              <w:rPr>
                <w:rFonts w:asciiTheme="majorHAnsi" w:hAnsiTheme="majorHAnsi" w:cstheme="majorHAnsi"/>
                <w:b/>
                <w:bCs/>
              </w:rPr>
              <w:t>ας</w:t>
            </w:r>
          </w:p>
        </w:tc>
        <w:tc>
          <w:tcPr>
            <w:tcW w:w="1696" w:type="dxa"/>
          </w:tcPr>
          <w:p w14:paraId="59BB4EAC" w14:textId="77777777" w:rsidR="001D2DAA" w:rsidRPr="006F53B6" w:rsidRDefault="005A56DC" w:rsidP="005A2C7D">
            <w:pPr>
              <w:spacing w:after="0" w:line="240" w:lineRule="auto"/>
              <w:rPr>
                <w:rFonts w:asciiTheme="majorHAnsi" w:hAnsiTheme="majorHAnsi" w:cstheme="majorHAnsi"/>
                <w:b/>
                <w:bCs/>
                <w:lang w:val="fr-FR"/>
              </w:rPr>
            </w:pPr>
            <w:proofErr w:type="spellStart"/>
            <w:r w:rsidRPr="006F53B6">
              <w:rPr>
                <w:rFonts w:asciiTheme="majorHAnsi" w:hAnsiTheme="majorHAnsi" w:cstheme="majorHAnsi"/>
                <w:b/>
                <w:bCs/>
                <w:lang w:val="fr-FR"/>
              </w:rPr>
              <w:t>Αριθμός</w:t>
            </w:r>
            <w:proofErr w:type="spellEnd"/>
            <w:r w:rsidRPr="006F53B6">
              <w:rPr>
                <w:rFonts w:asciiTheme="majorHAnsi" w:hAnsiTheme="majorHAnsi" w:cstheme="majorHAnsi"/>
                <w:b/>
                <w:bCs/>
                <w:lang w:val="fr-FR"/>
              </w:rPr>
              <w:t xml:space="preserve"> CAS</w:t>
            </w:r>
          </w:p>
        </w:tc>
      </w:tr>
      <w:tr w:rsidR="00A751C7" w:rsidRPr="00B93A55" w14:paraId="50DA9081" w14:textId="77777777" w:rsidTr="003E41E7">
        <w:trPr>
          <w:trHeight w:val="290"/>
        </w:trPr>
        <w:tc>
          <w:tcPr>
            <w:tcW w:w="9062" w:type="dxa"/>
            <w:gridSpan w:val="3"/>
            <w:noWrap/>
          </w:tcPr>
          <w:p w14:paraId="52F30A2F"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35895AAF" w14:textId="77777777" w:rsidTr="003E41E7">
        <w:trPr>
          <w:trHeight w:val="290"/>
        </w:trPr>
        <w:tc>
          <w:tcPr>
            <w:tcW w:w="1413" w:type="dxa"/>
            <w:noWrap/>
            <w:hideMark/>
          </w:tcPr>
          <w:p w14:paraId="6BE68020"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04CE2E9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4DEC83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1B328D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132918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C06B912"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68F6C24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D87F65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402F5B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0998CE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DC04E5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F829E3C" w14:textId="77777777" w:rsidTr="003E41E7">
        <w:trPr>
          <w:trHeight w:val="1448"/>
        </w:trPr>
        <w:tc>
          <w:tcPr>
            <w:tcW w:w="1413" w:type="dxa"/>
            <w:noWrap/>
            <w:hideMark/>
          </w:tcPr>
          <w:p w14:paraId="7168BC92"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5A17147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278000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0A4EEB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267DAB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53DB92E"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2BF5DD5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23A602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4886FF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13B695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F44DA97"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08BCE1BA" w14:textId="77777777" w:rsidTr="003E41E7">
        <w:trPr>
          <w:trHeight w:val="290"/>
        </w:trPr>
        <w:tc>
          <w:tcPr>
            <w:tcW w:w="1413" w:type="dxa"/>
            <w:noWrap/>
            <w:hideMark/>
          </w:tcPr>
          <w:p w14:paraId="60FD334B"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6CA5B9B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CD333F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D7C8BE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E0EFCB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00211B5"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7A6E381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16C08A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893DCA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B840C1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3D0B50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29D72740" w14:textId="77777777" w:rsidTr="003E41E7">
        <w:trPr>
          <w:trHeight w:val="290"/>
        </w:trPr>
        <w:tc>
          <w:tcPr>
            <w:tcW w:w="9062" w:type="dxa"/>
            <w:gridSpan w:val="3"/>
            <w:noWrap/>
          </w:tcPr>
          <w:p w14:paraId="512C416F"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1C28067C"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E09999E"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COMBOLAB</w:t>
            </w:r>
          </w:p>
        </w:tc>
        <w:tc>
          <w:tcPr>
            <w:tcW w:w="5953" w:type="dxa"/>
            <w:tcBorders>
              <w:top w:val="single" w:sz="4" w:space="0" w:color="auto"/>
              <w:left w:val="single" w:sz="4" w:space="0" w:color="auto"/>
              <w:bottom w:val="single" w:sz="4" w:space="0" w:color="auto"/>
              <w:right w:val="single" w:sz="4" w:space="0" w:color="auto"/>
            </w:tcBorders>
          </w:tcPr>
          <w:p w14:paraId="1157144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4B26F8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C6DE95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F9E3B4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455BA6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17DC317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562A9C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518015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4F7924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8B4D3A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119BC6C7"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68D7699"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CARDIOLAB</w:t>
            </w:r>
          </w:p>
        </w:tc>
        <w:tc>
          <w:tcPr>
            <w:tcW w:w="5953" w:type="dxa"/>
            <w:tcBorders>
              <w:top w:val="single" w:sz="4" w:space="0" w:color="auto"/>
              <w:left w:val="single" w:sz="4" w:space="0" w:color="auto"/>
              <w:bottom w:val="single" w:sz="4" w:space="0" w:color="auto"/>
              <w:right w:val="single" w:sz="4" w:space="0" w:color="auto"/>
            </w:tcBorders>
          </w:tcPr>
          <w:p w14:paraId="3C0BA43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5A7F3F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7478C6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EE2D37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ED759F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56A33B7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F2DED7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FFC043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23B645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B86133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0F9B2923"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202570C6"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5764236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7AF57E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CCCDE5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A7A6EC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5F85A2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3A6604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0C972A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B3FE36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D03E0D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8D5DD6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4F8A64A9"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4E85D518"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7F4CC817"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3FA51A69"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3BF2F1F5"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7239063D"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10B141E2"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B3927FB"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5ABFC0D1"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0954FCDA"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1C74F264"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4D83ACD6"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5C69C020"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0B4475D9"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353115B3"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FFC719A"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729F02F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941149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0BFEFD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E612F7F"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16808E9"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0F2A8A1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E007E1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3F1B5E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ADCE92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7E8CBB7"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8DC09D1"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4C7164B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B89F69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71A325E"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030B1EC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CA8C84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219368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C4D898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5A1A12A"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14B086A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532B5A1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12BE38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BC443E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36CCB0E"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FB6BA64"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60197427"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AA02752"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6C64425"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7F30FCE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56241D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584C9E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2431D08"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3BD7BAB"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773E3F1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A0647E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E00D21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087A0A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E2B15A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5E9E86E"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4986921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3EEE2D83" w14:textId="77777777" w:rsidR="00636C30" w:rsidRDefault="00636C30" w:rsidP="00636C30">
      <w:pPr>
        <w:rPr>
          <w:rFonts w:asciiTheme="majorHAnsi" w:hAnsiTheme="majorHAnsi" w:cstheme="majorHAnsi"/>
        </w:rPr>
      </w:pPr>
    </w:p>
    <w:p w14:paraId="29BB21AB" w14:textId="77777777" w:rsidR="001D2DAA" w:rsidRDefault="001D2DAA" w:rsidP="001D2DAA">
      <w:pPr>
        <w:rPr>
          <w:rFonts w:asciiTheme="majorHAnsi" w:hAnsiTheme="majorHAnsi" w:cstheme="majorHAnsi"/>
        </w:rPr>
      </w:pPr>
    </w:p>
    <w:p w14:paraId="0B077670" w14:textId="77777777" w:rsidR="001D2DAA" w:rsidRDefault="001D2DAA" w:rsidP="001D2DAA">
      <w:pPr>
        <w:rPr>
          <w:rFonts w:asciiTheme="majorHAnsi" w:hAnsiTheme="majorHAnsi" w:cstheme="majorHAnsi"/>
        </w:rPr>
      </w:pPr>
      <w:r>
        <w:rPr>
          <w:rFonts w:asciiTheme="majorHAnsi" w:hAnsiTheme="majorHAnsi" w:cstheme="majorHAnsi"/>
        </w:rPr>
        <w:br w:type="page"/>
      </w:r>
    </w:p>
    <w:p w14:paraId="5EFC9801"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1B6057F9"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5A1BBDBA"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754A7357"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4437CA97"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2B63D19B"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2F6CFD7A"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034506D1"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0A233D12"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04EA976A"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36BF66A3"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67D13B14"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60D46C98"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5056E680"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30D589D4"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0B154EE1"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4B7FBE71"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5BDB352E" w14:textId="77777777" w:rsidR="001D2DAA" w:rsidRPr="00977090" w:rsidRDefault="001D2DAA" w:rsidP="001D2DAA">
      <w:pPr>
        <w:pStyle w:val="Default"/>
        <w:rPr>
          <w:rFonts w:asciiTheme="majorHAnsi" w:hAnsiTheme="majorHAnsi" w:cstheme="majorHAnsi"/>
          <w:color w:val="auto"/>
          <w:sz w:val="22"/>
          <w:szCs w:val="22"/>
        </w:rPr>
      </w:pPr>
    </w:p>
    <w:p w14:paraId="0394010D" w14:textId="77777777" w:rsidR="000F0850" w:rsidRPr="006F53B6" w:rsidRDefault="000F0850" w:rsidP="006F53B6">
      <w:pPr>
        <w:spacing w:after="0"/>
        <w:jc w:val="both"/>
        <w:rPr>
          <w:rFonts w:asciiTheme="majorHAnsi" w:hAnsiTheme="majorHAnsi" w:cstheme="majorHAnsi"/>
        </w:rPr>
      </w:pPr>
      <w:r w:rsidRPr="006F53B6">
        <w:rPr>
          <w:rFonts w:asciiTheme="majorHAnsi" w:hAnsiTheme="majorHAnsi" w:cstheme="majorHAnsi"/>
        </w:rPr>
        <w:t xml:space="preserve">GE Healthcare </w:t>
      </w:r>
      <w:proofErr w:type="spellStart"/>
      <w:r w:rsidRPr="006F53B6">
        <w:rPr>
          <w:rFonts w:asciiTheme="majorHAnsi" w:hAnsiTheme="majorHAnsi" w:cstheme="majorHAnsi"/>
        </w:rPr>
        <w:t>surađuje</w:t>
      </w:r>
      <w:proofErr w:type="spellEnd"/>
      <w:r w:rsidRPr="006F53B6">
        <w:rPr>
          <w:rFonts w:asciiTheme="majorHAnsi" w:hAnsiTheme="majorHAnsi" w:cstheme="majorHAnsi"/>
        </w:rPr>
        <w:t xml:space="preserve"> s </w:t>
      </w:r>
      <w:proofErr w:type="spellStart"/>
      <w:r w:rsidRPr="006F53B6">
        <w:rPr>
          <w:rFonts w:asciiTheme="majorHAnsi" w:hAnsiTheme="majorHAnsi" w:cstheme="majorHAnsi"/>
        </w:rPr>
        <w:t>dobavljačima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kako</w:t>
      </w:r>
      <w:proofErr w:type="spellEnd"/>
      <w:r w:rsidRPr="006F53B6">
        <w:rPr>
          <w:rFonts w:asciiTheme="majorHAnsi" w:hAnsiTheme="majorHAnsi" w:cstheme="majorHAnsi"/>
        </w:rPr>
        <w:t xml:space="preserve"> bi </w:t>
      </w:r>
      <w:proofErr w:type="spellStart"/>
      <w:r w:rsidRPr="006F53B6">
        <w:rPr>
          <w:rFonts w:asciiTheme="majorHAnsi" w:hAnsiTheme="majorHAnsi" w:cstheme="majorHAnsi"/>
        </w:rPr>
        <w:t>osigurao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sukladnost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proizvoda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uvezenih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ili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proizvedenih</w:t>
      </w:r>
      <w:proofErr w:type="spellEnd"/>
      <w:r w:rsidRPr="006F53B6">
        <w:rPr>
          <w:rFonts w:asciiTheme="majorHAnsi" w:hAnsiTheme="majorHAnsi" w:cstheme="majorHAnsi"/>
        </w:rPr>
        <w:t xml:space="preserve"> u </w:t>
      </w:r>
      <w:proofErr w:type="spellStart"/>
      <w:r w:rsidRPr="006F53B6">
        <w:rPr>
          <w:rFonts w:asciiTheme="majorHAnsi" w:hAnsiTheme="majorHAnsi" w:cstheme="majorHAnsi"/>
        </w:rPr>
        <w:t>Europskoj</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uniji</w:t>
      </w:r>
      <w:proofErr w:type="spellEnd"/>
      <w:r w:rsidRPr="006F53B6">
        <w:rPr>
          <w:rFonts w:asciiTheme="majorHAnsi" w:hAnsiTheme="majorHAnsi" w:cstheme="majorHAnsi"/>
        </w:rPr>
        <w:t xml:space="preserve"> koji </w:t>
      </w:r>
      <w:proofErr w:type="spellStart"/>
      <w:r w:rsidRPr="006F53B6">
        <w:rPr>
          <w:rFonts w:asciiTheme="majorHAnsi" w:hAnsiTheme="majorHAnsi" w:cstheme="majorHAnsi"/>
        </w:rPr>
        <w:t>su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podložni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uredbi</w:t>
      </w:r>
      <w:proofErr w:type="spellEnd"/>
      <w:r w:rsidRPr="006F53B6">
        <w:rPr>
          <w:rFonts w:asciiTheme="majorHAnsi" w:hAnsiTheme="majorHAnsi" w:cstheme="majorHAnsi"/>
        </w:rPr>
        <w:t xml:space="preserve"> REACH (EZ – br. 1907/2006), </w:t>
      </w:r>
      <w:proofErr w:type="spellStart"/>
      <w:r w:rsidRPr="006F53B6">
        <w:rPr>
          <w:rFonts w:asciiTheme="majorHAnsi" w:hAnsiTheme="majorHAnsi" w:cstheme="majorHAnsi"/>
        </w:rPr>
        <w:t>Članak</w:t>
      </w:r>
      <w:proofErr w:type="spellEnd"/>
      <w:r w:rsidRPr="006F53B6">
        <w:rPr>
          <w:rFonts w:asciiTheme="majorHAnsi" w:hAnsiTheme="majorHAnsi" w:cstheme="majorHAnsi"/>
        </w:rPr>
        <w:t xml:space="preserve"> 33, a </w:t>
      </w:r>
      <w:proofErr w:type="spellStart"/>
      <w:r w:rsidRPr="006F53B6">
        <w:rPr>
          <w:rFonts w:asciiTheme="majorHAnsi" w:hAnsiTheme="majorHAnsi" w:cstheme="majorHAnsi"/>
        </w:rPr>
        <w:t>koriste</w:t>
      </w:r>
      <w:proofErr w:type="spellEnd"/>
      <w:r w:rsidRPr="006F53B6">
        <w:rPr>
          <w:rFonts w:asciiTheme="majorHAnsi" w:hAnsiTheme="majorHAnsi" w:cstheme="majorHAnsi"/>
        </w:rPr>
        <w:t xml:space="preserve"> se u </w:t>
      </w:r>
      <w:proofErr w:type="spellStart"/>
      <w:r w:rsidRPr="006F53B6">
        <w:rPr>
          <w:rFonts w:asciiTheme="majorHAnsi" w:hAnsiTheme="majorHAnsi" w:cstheme="majorHAnsi"/>
        </w:rPr>
        <w:t>proizvodnji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proizvoda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tvrtke</w:t>
      </w:r>
      <w:proofErr w:type="spellEnd"/>
      <w:r w:rsidRPr="006F53B6">
        <w:rPr>
          <w:rFonts w:asciiTheme="majorHAnsi" w:hAnsiTheme="majorHAnsi" w:cstheme="majorHAnsi"/>
        </w:rPr>
        <w:t xml:space="preserve"> GE Healthcare. </w:t>
      </w:r>
    </w:p>
    <w:p w14:paraId="5FF9134E" w14:textId="77777777" w:rsidR="000F0850" w:rsidRPr="006F53B6" w:rsidRDefault="000F0850" w:rsidP="006F53B6">
      <w:pPr>
        <w:spacing w:after="0"/>
        <w:jc w:val="both"/>
        <w:rPr>
          <w:rFonts w:asciiTheme="majorHAnsi" w:hAnsiTheme="majorHAnsi" w:cstheme="majorHAnsi"/>
        </w:rPr>
      </w:pPr>
      <w:proofErr w:type="spellStart"/>
      <w:r w:rsidRPr="006F53B6">
        <w:rPr>
          <w:rFonts w:asciiTheme="majorHAnsi" w:hAnsiTheme="majorHAnsi" w:cstheme="majorHAnsi"/>
        </w:rPr>
        <w:t>Vezano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uz</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primjenu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Članka</w:t>
      </w:r>
      <w:proofErr w:type="spellEnd"/>
      <w:r w:rsidRPr="006F53B6">
        <w:rPr>
          <w:rFonts w:asciiTheme="majorHAnsi" w:hAnsiTheme="majorHAnsi" w:cstheme="majorHAnsi"/>
        </w:rPr>
        <w:t xml:space="preserve"> 33 </w:t>
      </w:r>
      <w:proofErr w:type="spellStart"/>
      <w:r w:rsidRPr="006F53B6">
        <w:rPr>
          <w:rFonts w:asciiTheme="majorHAnsi" w:hAnsiTheme="majorHAnsi" w:cstheme="majorHAnsi"/>
        </w:rPr>
        <w:t>uredbe</w:t>
      </w:r>
      <w:proofErr w:type="spellEnd"/>
      <w:r w:rsidRPr="006F53B6">
        <w:rPr>
          <w:rFonts w:asciiTheme="majorHAnsi" w:hAnsiTheme="majorHAnsi" w:cstheme="majorHAnsi"/>
        </w:rPr>
        <w:t xml:space="preserve"> REACH </w:t>
      </w:r>
      <w:proofErr w:type="spellStart"/>
      <w:r w:rsidRPr="006F53B6">
        <w:rPr>
          <w:rFonts w:asciiTheme="majorHAnsi" w:hAnsiTheme="majorHAnsi" w:cstheme="majorHAnsi"/>
        </w:rPr>
        <w:t>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objave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Popisa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predloženih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posebno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zabrinjavajućih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tvari</w:t>
      </w:r>
      <w:proofErr w:type="spellEnd"/>
      <w:r w:rsidRPr="006F53B6">
        <w:rPr>
          <w:rFonts w:asciiTheme="majorHAnsi" w:hAnsiTheme="majorHAnsi" w:cstheme="majorHAnsi"/>
        </w:rPr>
        <w:t xml:space="preserve"> za </w:t>
      </w:r>
      <w:proofErr w:type="spellStart"/>
      <w:r w:rsidRPr="006F53B6">
        <w:rPr>
          <w:rFonts w:asciiTheme="majorHAnsi" w:hAnsiTheme="majorHAnsi" w:cstheme="majorHAnsi"/>
        </w:rPr>
        <w:t>odobrenje</w:t>
      </w:r>
      <w:proofErr w:type="spellEnd"/>
      <w:r w:rsidRPr="006F53B6">
        <w:rPr>
          <w:rFonts w:asciiTheme="majorHAnsi" w:hAnsiTheme="majorHAnsi" w:cstheme="majorHAnsi"/>
        </w:rPr>
        <w:t xml:space="preserve"> (SVHC) </w:t>
      </w:r>
      <w:proofErr w:type="spellStart"/>
      <w:r w:rsidRPr="006F53B6">
        <w:rPr>
          <w:rFonts w:asciiTheme="majorHAnsi" w:hAnsiTheme="majorHAnsi" w:cstheme="majorHAnsi"/>
        </w:rPr>
        <w:t>sukladno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Članku</w:t>
      </w:r>
      <w:proofErr w:type="spellEnd"/>
      <w:r w:rsidRPr="006F53B6">
        <w:rPr>
          <w:rFonts w:asciiTheme="majorHAnsi" w:hAnsiTheme="majorHAnsi" w:cstheme="majorHAnsi"/>
        </w:rPr>
        <w:t xml:space="preserve"> 59 </w:t>
      </w:r>
      <w:proofErr w:type="spellStart"/>
      <w:r w:rsidRPr="006F53B6">
        <w:rPr>
          <w:rFonts w:asciiTheme="majorHAnsi" w:hAnsiTheme="majorHAnsi" w:cstheme="majorHAnsi"/>
        </w:rPr>
        <w:t>uredbe</w:t>
      </w:r>
      <w:proofErr w:type="spellEnd"/>
      <w:r w:rsidRPr="006F53B6">
        <w:rPr>
          <w:rFonts w:asciiTheme="majorHAnsi" w:hAnsiTheme="majorHAnsi" w:cstheme="majorHAnsi"/>
        </w:rPr>
        <w:t xml:space="preserve"> REACH, GE Healthcare je </w:t>
      </w:r>
      <w:proofErr w:type="spellStart"/>
      <w:r w:rsidRPr="006F53B6">
        <w:rPr>
          <w:rFonts w:asciiTheme="majorHAnsi" w:hAnsiTheme="majorHAnsi" w:cstheme="majorHAnsi"/>
        </w:rPr>
        <w:t>upoznat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svojim</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pravnim</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obavezama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ispoštovat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će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ih</w:t>
      </w:r>
      <w:proofErr w:type="spellEnd"/>
      <w:r w:rsidRPr="006F53B6">
        <w:rPr>
          <w:rFonts w:asciiTheme="majorHAnsi" w:hAnsiTheme="majorHAnsi" w:cstheme="majorHAnsi"/>
        </w:rPr>
        <w:t xml:space="preserve">. </w:t>
      </w:r>
    </w:p>
    <w:p w14:paraId="71669164" w14:textId="4EE1560C" w:rsidR="000F0850" w:rsidRPr="006F53B6" w:rsidRDefault="000F0850" w:rsidP="006F53B6">
      <w:pPr>
        <w:spacing w:after="0"/>
        <w:jc w:val="both"/>
        <w:rPr>
          <w:rFonts w:asciiTheme="majorHAnsi" w:hAnsiTheme="majorHAnsi" w:cstheme="majorHAnsi"/>
        </w:rPr>
      </w:pPr>
      <w:proofErr w:type="spellStart"/>
      <w:r w:rsidRPr="006F53B6">
        <w:rPr>
          <w:rFonts w:asciiTheme="majorHAnsi" w:hAnsiTheme="majorHAnsi" w:cstheme="majorHAnsi"/>
        </w:rPr>
        <w:t>Proizvodi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tvrtke</w:t>
      </w:r>
      <w:proofErr w:type="spellEnd"/>
      <w:r w:rsidRPr="006F53B6">
        <w:rPr>
          <w:rFonts w:asciiTheme="majorHAnsi" w:hAnsiTheme="majorHAnsi" w:cstheme="majorHAnsi"/>
        </w:rPr>
        <w:t xml:space="preserve"> GE Healthcare </w:t>
      </w:r>
      <w:proofErr w:type="spellStart"/>
      <w:r w:rsidRPr="006F53B6">
        <w:rPr>
          <w:rFonts w:asciiTheme="majorHAnsi" w:hAnsiTheme="majorHAnsi" w:cstheme="majorHAnsi"/>
        </w:rPr>
        <w:t>prilikom</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uobičajene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uporabe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tvari</w:t>
      </w:r>
      <w:proofErr w:type="spellEnd"/>
      <w:r w:rsidRPr="006F53B6">
        <w:rPr>
          <w:rFonts w:asciiTheme="majorHAnsi" w:hAnsiTheme="majorHAnsi" w:cstheme="majorHAnsi"/>
        </w:rPr>
        <w:t xml:space="preserve"> ne „</w:t>
      </w:r>
      <w:proofErr w:type="spellStart"/>
      <w:r w:rsidRPr="006F53B6">
        <w:rPr>
          <w:rFonts w:asciiTheme="majorHAnsi" w:hAnsiTheme="majorHAnsi" w:cstheme="majorHAnsi"/>
        </w:rPr>
        <w:t>ispuštaju</w:t>
      </w:r>
      <w:proofErr w:type="spellEnd"/>
      <w:r w:rsidRPr="006F53B6">
        <w:rPr>
          <w:rFonts w:asciiTheme="majorHAnsi" w:hAnsiTheme="majorHAnsi" w:cstheme="majorHAnsi"/>
        </w:rPr>
        <w:t xml:space="preserve"> </w:t>
      </w:r>
      <w:proofErr w:type="spellStart"/>
      <w:proofErr w:type="gramStart"/>
      <w:r w:rsidRPr="006F53B6">
        <w:rPr>
          <w:rFonts w:asciiTheme="majorHAnsi" w:hAnsiTheme="majorHAnsi" w:cstheme="majorHAnsi"/>
        </w:rPr>
        <w:t>namjerno</w:t>
      </w:r>
      <w:proofErr w:type="spellEnd"/>
      <w:r w:rsidRPr="006F53B6">
        <w:rPr>
          <w:rFonts w:asciiTheme="majorHAnsi" w:hAnsiTheme="majorHAnsi" w:cstheme="majorHAnsi"/>
        </w:rPr>
        <w:t>“</w:t>
      </w:r>
      <w:proofErr w:type="gramEnd"/>
      <w:r w:rsidRPr="006F53B6">
        <w:rPr>
          <w:rFonts w:asciiTheme="majorHAnsi" w:hAnsiTheme="majorHAnsi" w:cstheme="majorHAnsi"/>
        </w:rPr>
        <w:t xml:space="preserve">. </w:t>
      </w:r>
    </w:p>
    <w:p w14:paraId="06E4A56A" w14:textId="5691D7C8" w:rsidR="001D2DAA" w:rsidRPr="006F53B6" w:rsidRDefault="00D852EE" w:rsidP="006F53B6">
      <w:pPr>
        <w:spacing w:after="0"/>
        <w:jc w:val="both"/>
        <w:rPr>
          <w:rFonts w:asciiTheme="majorHAnsi" w:hAnsiTheme="majorHAnsi" w:cstheme="majorHAnsi"/>
        </w:rPr>
      </w:pPr>
      <w:proofErr w:type="spellStart"/>
      <w:r w:rsidRPr="006F53B6">
        <w:rPr>
          <w:rFonts w:asciiTheme="majorHAnsi" w:hAnsiTheme="majorHAnsi" w:cstheme="majorHAnsi"/>
        </w:rPr>
        <w:t>Sukladno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informacijama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dobivenim</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od</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naših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dobavljača</w:t>
      </w:r>
      <w:proofErr w:type="spellEnd"/>
      <w:r w:rsidRPr="006F53B6">
        <w:rPr>
          <w:rFonts w:asciiTheme="majorHAnsi" w:hAnsiTheme="majorHAnsi" w:cstheme="majorHAnsi"/>
        </w:rPr>
        <w:t xml:space="preserve"> do </w:t>
      </w:r>
      <w:proofErr w:type="spellStart"/>
      <w:r w:rsidRPr="006F53B6">
        <w:rPr>
          <w:rFonts w:asciiTheme="majorHAnsi" w:hAnsiTheme="majorHAnsi" w:cstheme="majorHAnsi"/>
        </w:rPr>
        <w:t>današnjeg</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datuma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ove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tvari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prisutne</w:t>
      </w:r>
      <w:proofErr w:type="spellEnd"/>
      <w:r w:rsidRPr="006F53B6">
        <w:rPr>
          <w:rFonts w:asciiTheme="majorHAnsi" w:hAnsiTheme="majorHAnsi" w:cstheme="majorHAnsi"/>
        </w:rPr>
        <w:t xml:space="preserve"> u </w:t>
      </w:r>
      <w:proofErr w:type="spellStart"/>
      <w:r w:rsidRPr="006F53B6">
        <w:rPr>
          <w:rFonts w:asciiTheme="majorHAnsi" w:hAnsiTheme="majorHAnsi" w:cstheme="majorHAnsi"/>
        </w:rPr>
        <w:t>sljedećim</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proizvodima</w:t>
      </w:r>
      <w:proofErr w:type="spellEnd"/>
      <w:r w:rsidRPr="006F53B6">
        <w:rPr>
          <w:rFonts w:asciiTheme="majorHAnsi" w:hAnsiTheme="majorHAnsi" w:cstheme="majorHAnsi"/>
        </w:rPr>
        <w:t xml:space="preserve"> u </w:t>
      </w:r>
      <w:proofErr w:type="spellStart"/>
      <w:r w:rsidRPr="006F53B6">
        <w:rPr>
          <w:rFonts w:asciiTheme="majorHAnsi" w:hAnsiTheme="majorHAnsi" w:cstheme="majorHAnsi"/>
        </w:rPr>
        <w:t>koncentraciji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koja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može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biti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veća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od</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granične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vrijednosti</w:t>
      </w:r>
      <w:proofErr w:type="spellEnd"/>
      <w:r w:rsidRPr="006F53B6">
        <w:rPr>
          <w:rFonts w:asciiTheme="majorHAnsi" w:hAnsiTheme="majorHAnsi" w:cstheme="majorHAnsi"/>
        </w:rPr>
        <w:t xml:space="preserve"> 0,1 % (w/w) </w:t>
      </w:r>
      <w:proofErr w:type="spellStart"/>
      <w:r w:rsidRPr="006F53B6">
        <w:rPr>
          <w:rFonts w:asciiTheme="majorHAnsi" w:hAnsiTheme="majorHAnsi" w:cstheme="majorHAnsi"/>
        </w:rPr>
        <w:t>na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razini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artikla</w:t>
      </w:r>
      <w:proofErr w:type="spellEnd"/>
      <w:r w:rsidRPr="006F53B6">
        <w:rPr>
          <w:rFonts w:asciiTheme="majorHAnsi" w:hAnsiTheme="majorHAnsi" w:cstheme="majorHAnsi"/>
        </w:rPr>
        <w:t>:</w:t>
      </w:r>
    </w:p>
    <w:p w14:paraId="0CAA7F32" w14:textId="77777777" w:rsidR="000F0850" w:rsidRPr="006706BE" w:rsidRDefault="000F0850" w:rsidP="000F0850">
      <w:pPr>
        <w:spacing w:after="0"/>
        <w:rPr>
          <w:rFonts w:asciiTheme="majorHAnsi" w:hAnsiTheme="majorHAnsi" w:cstheme="majorHAnsi"/>
          <w:color w:val="ED7D31" w:themeColor="accent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6004680F" w14:textId="77777777" w:rsidTr="00636C30">
        <w:trPr>
          <w:trHeight w:val="290"/>
        </w:trPr>
        <w:tc>
          <w:tcPr>
            <w:tcW w:w="1413" w:type="dxa"/>
            <w:noWrap/>
          </w:tcPr>
          <w:p w14:paraId="03DE50AC" w14:textId="77777777" w:rsidR="001D2DAA" w:rsidRPr="006F53B6" w:rsidRDefault="000F0850"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Naziv</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proizvoda</w:t>
            </w:r>
            <w:proofErr w:type="spellEnd"/>
          </w:p>
        </w:tc>
        <w:tc>
          <w:tcPr>
            <w:tcW w:w="5953" w:type="dxa"/>
          </w:tcPr>
          <w:p w14:paraId="02C9901C" w14:textId="77777777" w:rsidR="001D2DAA" w:rsidRPr="006F53B6" w:rsidRDefault="000F0850"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Naziv</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tvari</w:t>
            </w:r>
            <w:proofErr w:type="spellEnd"/>
          </w:p>
        </w:tc>
        <w:tc>
          <w:tcPr>
            <w:tcW w:w="1696" w:type="dxa"/>
          </w:tcPr>
          <w:p w14:paraId="09AA2970" w14:textId="77777777" w:rsidR="001D2DAA" w:rsidRPr="006F53B6" w:rsidRDefault="000F0850" w:rsidP="005A2C7D">
            <w:pPr>
              <w:spacing w:after="0" w:line="240" w:lineRule="auto"/>
              <w:rPr>
                <w:rFonts w:asciiTheme="majorHAnsi" w:hAnsiTheme="majorHAnsi" w:cstheme="majorHAnsi"/>
                <w:b/>
                <w:bCs/>
                <w:lang w:val="fr-FR"/>
              </w:rPr>
            </w:pPr>
            <w:r w:rsidRPr="006F53B6">
              <w:rPr>
                <w:rFonts w:asciiTheme="majorHAnsi" w:hAnsiTheme="majorHAnsi" w:cstheme="majorHAnsi"/>
                <w:b/>
                <w:bCs/>
                <w:lang w:val="fr-FR"/>
              </w:rPr>
              <w:t xml:space="preserve">CAS </w:t>
            </w:r>
            <w:proofErr w:type="spellStart"/>
            <w:r w:rsidRPr="006F53B6">
              <w:rPr>
                <w:rFonts w:asciiTheme="majorHAnsi" w:hAnsiTheme="majorHAnsi" w:cstheme="majorHAnsi"/>
                <w:b/>
                <w:bCs/>
                <w:lang w:val="fr-FR"/>
              </w:rPr>
              <w:t>broj</w:t>
            </w:r>
            <w:proofErr w:type="spellEnd"/>
          </w:p>
        </w:tc>
      </w:tr>
      <w:tr w:rsidR="00A751C7" w:rsidRPr="00B93A55" w14:paraId="7AE3D262" w14:textId="77777777" w:rsidTr="003E41E7">
        <w:trPr>
          <w:trHeight w:val="290"/>
        </w:trPr>
        <w:tc>
          <w:tcPr>
            <w:tcW w:w="9062" w:type="dxa"/>
            <w:gridSpan w:val="3"/>
            <w:noWrap/>
          </w:tcPr>
          <w:p w14:paraId="1ED56080"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57D680A0" w14:textId="77777777" w:rsidTr="003E41E7">
        <w:trPr>
          <w:trHeight w:val="290"/>
        </w:trPr>
        <w:tc>
          <w:tcPr>
            <w:tcW w:w="1413" w:type="dxa"/>
            <w:noWrap/>
            <w:hideMark/>
          </w:tcPr>
          <w:p w14:paraId="110AE92C"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6AA0024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784D1C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D6FE98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95DAE2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9EF52DC"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3D4A6DF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B6A088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DD614C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8E832A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EECA72E"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7C69B43B" w14:textId="77777777" w:rsidTr="003E41E7">
        <w:trPr>
          <w:trHeight w:val="1448"/>
        </w:trPr>
        <w:tc>
          <w:tcPr>
            <w:tcW w:w="1413" w:type="dxa"/>
            <w:noWrap/>
            <w:hideMark/>
          </w:tcPr>
          <w:p w14:paraId="5B117023"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4707CBC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1215BB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7C7A3A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0DE8F1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5245980"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5E8A257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4CB44C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5197EC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E204F1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887CA54"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3BED9AA1" w14:textId="77777777" w:rsidTr="003E41E7">
        <w:trPr>
          <w:trHeight w:val="290"/>
        </w:trPr>
        <w:tc>
          <w:tcPr>
            <w:tcW w:w="1413" w:type="dxa"/>
            <w:noWrap/>
            <w:hideMark/>
          </w:tcPr>
          <w:p w14:paraId="7E3432B7"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338A9D4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7C07DF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EAC558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459E0C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710153E"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1F0BD02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33D3FD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FC6BC2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62CDB9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1F1FFC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54206CF7" w14:textId="77777777" w:rsidTr="003E41E7">
        <w:trPr>
          <w:trHeight w:val="290"/>
        </w:trPr>
        <w:tc>
          <w:tcPr>
            <w:tcW w:w="9062" w:type="dxa"/>
            <w:gridSpan w:val="3"/>
            <w:noWrap/>
          </w:tcPr>
          <w:p w14:paraId="2551F493"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4C2CDF2E"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B011718"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73DFEBF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06CC43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7AF54B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C51738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BCAD33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F15F3D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839746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F33445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CD1D54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8EF376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398EADE9"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07AB81B"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2EF5E03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9A67F5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370B1C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5620D5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DA5C26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B1FCB6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DCBDE8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125ABC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D3BC1F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88DF8CD"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3F040C9"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1B28A87"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2979307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94418E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47BEBB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10EEC9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496B17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423424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7B2770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48D549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CF1C61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2495FE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70135D53"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72F23722"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513A0491"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39CE1A33"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32CFE31B"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6C484EB5"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2D007608"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05BCE98D"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3B587521"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4B924196"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44EB0616"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075557BB"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64659161"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31F0226E"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23AD591F"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278711A7"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03BCFE3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0471A04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61EC04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4C225C7"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730048F"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282B9D7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C43DA6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21F9AC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180D46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6622C2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F454DE8"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70CA806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51B3A996"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C40C26B"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6B6F59A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9CEA91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839C05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A9442B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4D0250D"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402A0A8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7E3070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B92836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EC7955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9B896F9"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984B809"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1394E220"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06BA2B89"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47DAFAA"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14C8F43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C4E75C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909B7F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4E3B36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E658DF8"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390434F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171BC3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334DFF1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240EED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017E994"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0689813"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579EEB6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3C16231D" w14:textId="77777777" w:rsidR="00636C30" w:rsidRDefault="00636C30" w:rsidP="00636C30">
      <w:pPr>
        <w:rPr>
          <w:rFonts w:asciiTheme="majorHAnsi" w:hAnsiTheme="majorHAnsi" w:cstheme="majorHAnsi"/>
        </w:rPr>
      </w:pPr>
    </w:p>
    <w:p w14:paraId="514BF794" w14:textId="77777777" w:rsidR="001D2DAA" w:rsidRDefault="001D2DAA" w:rsidP="001D2DAA">
      <w:pPr>
        <w:rPr>
          <w:rFonts w:asciiTheme="majorHAnsi" w:hAnsiTheme="majorHAnsi" w:cstheme="majorHAnsi"/>
        </w:rPr>
      </w:pPr>
    </w:p>
    <w:p w14:paraId="6A65C9DF" w14:textId="77777777" w:rsidR="001D2DAA" w:rsidRDefault="001D2DAA" w:rsidP="001D2DAA">
      <w:pPr>
        <w:rPr>
          <w:rFonts w:asciiTheme="majorHAnsi" w:hAnsiTheme="majorHAnsi" w:cstheme="majorHAnsi"/>
        </w:rPr>
      </w:pPr>
      <w:r>
        <w:rPr>
          <w:rFonts w:asciiTheme="majorHAnsi" w:hAnsiTheme="majorHAnsi" w:cstheme="majorHAnsi"/>
        </w:rPr>
        <w:br w:type="page"/>
      </w:r>
    </w:p>
    <w:p w14:paraId="78EC622B"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1F7F0CF3"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68208D88"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43E290A5"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65D3D58B"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0AB419E7"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3A5275AE"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087967FC"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3496E4DF"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1BD70CF1"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2418296F"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4DFA3D6C"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1413379F"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40498B01"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606680B3"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57643CFA"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3B841684"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3203AD7E" w14:textId="77777777" w:rsidR="001D2DAA" w:rsidRPr="00977090" w:rsidRDefault="001D2DAA" w:rsidP="001D2DAA">
      <w:pPr>
        <w:pStyle w:val="Default"/>
        <w:rPr>
          <w:rFonts w:asciiTheme="majorHAnsi" w:hAnsiTheme="majorHAnsi" w:cstheme="majorHAnsi"/>
          <w:color w:val="auto"/>
          <w:sz w:val="22"/>
          <w:szCs w:val="22"/>
        </w:rPr>
      </w:pPr>
    </w:p>
    <w:p w14:paraId="522395F6" w14:textId="77777777" w:rsidR="00EA183D" w:rsidRPr="006F53B6" w:rsidRDefault="00EA183D" w:rsidP="006F53B6">
      <w:pPr>
        <w:spacing w:after="0"/>
        <w:jc w:val="both"/>
        <w:rPr>
          <w:rFonts w:asciiTheme="majorHAnsi" w:hAnsiTheme="majorHAnsi" w:cstheme="majorHAnsi"/>
          <w:lang w:val="it-IT"/>
        </w:rPr>
      </w:pPr>
      <w:r w:rsidRPr="006F53B6">
        <w:rPr>
          <w:rFonts w:asciiTheme="majorHAnsi" w:hAnsiTheme="majorHAnsi" w:cstheme="majorHAnsi"/>
          <w:lang w:val="it-IT"/>
        </w:rPr>
        <w:t xml:space="preserve">GE Healthcare collabora con i suoi fornitori per garantire la conformità degli articoli importati o prodotti nell'Unione Europea soggetti al regolamento REACH (CE N. 1907/2006), articolo 33, e utilizzati nella fabbricazione di prodotti GE Healthcare. </w:t>
      </w:r>
    </w:p>
    <w:p w14:paraId="3A3CDA61" w14:textId="06E726D1" w:rsidR="00EA183D" w:rsidRPr="006F53B6" w:rsidRDefault="00EA183D" w:rsidP="006F53B6">
      <w:pPr>
        <w:spacing w:after="0"/>
        <w:jc w:val="both"/>
        <w:rPr>
          <w:rFonts w:asciiTheme="majorHAnsi" w:hAnsiTheme="majorHAnsi" w:cstheme="majorHAnsi"/>
          <w:lang w:val="it-IT"/>
        </w:rPr>
      </w:pPr>
      <w:r w:rsidRPr="006F53B6">
        <w:rPr>
          <w:rFonts w:asciiTheme="majorHAnsi" w:hAnsiTheme="majorHAnsi" w:cstheme="majorHAnsi"/>
          <w:lang w:val="it-IT"/>
        </w:rPr>
        <w:t xml:space="preserve">Per quanto riguarda l'applicazione dell'articolo 33 del regolamento REACH e la pubblicazione dell'elenco delle sostanze candidate estremamente preoccupanti (SVHC, Substances of Very High Concern) in conformità all'articolo 59 del regolamento REACH, GE Healthcare è a conoscenza dei suoi obblighi legali e si impegna a rispettarli. </w:t>
      </w:r>
    </w:p>
    <w:p w14:paraId="4B92972D" w14:textId="77777777" w:rsidR="00EA183D" w:rsidRPr="006F53B6" w:rsidRDefault="00EA183D" w:rsidP="006F53B6">
      <w:pPr>
        <w:spacing w:after="0"/>
        <w:jc w:val="both"/>
        <w:rPr>
          <w:rFonts w:asciiTheme="majorHAnsi" w:hAnsiTheme="majorHAnsi" w:cstheme="majorHAnsi"/>
          <w:lang w:val="it-IT"/>
        </w:rPr>
      </w:pPr>
      <w:r w:rsidRPr="006F53B6">
        <w:rPr>
          <w:rFonts w:asciiTheme="majorHAnsi" w:hAnsiTheme="majorHAnsi" w:cstheme="majorHAnsi"/>
          <w:lang w:val="it-IT"/>
        </w:rPr>
        <w:t xml:space="preserve">Gli articoli GE Healthcare non "rilasciano intenzionalmente" sostanze in condizioni di normale utilizzo. </w:t>
      </w:r>
    </w:p>
    <w:p w14:paraId="51BE6E51" w14:textId="539C8AAD" w:rsidR="001D2DAA" w:rsidRPr="006F53B6" w:rsidRDefault="00D852EE" w:rsidP="006F53B6">
      <w:pPr>
        <w:spacing w:after="0"/>
        <w:jc w:val="both"/>
        <w:rPr>
          <w:rFonts w:asciiTheme="majorHAnsi" w:hAnsiTheme="majorHAnsi" w:cstheme="majorHAnsi"/>
          <w:lang w:val="it-IT"/>
        </w:rPr>
      </w:pPr>
      <w:r w:rsidRPr="006F53B6">
        <w:rPr>
          <w:rFonts w:asciiTheme="majorHAnsi" w:hAnsiTheme="majorHAnsi" w:cstheme="majorHAnsi"/>
          <w:lang w:val="it-IT"/>
        </w:rPr>
        <w:t>In base alle informazioni aggiornate ad oggi ottenute dai nostri fornitori, queste sostanze sono presenti nei seguenti prodotti in una concentrazione che potrebbe essere superiore alla soglia dello 0,1% in peso/peso a livello di articolo:</w:t>
      </w:r>
    </w:p>
    <w:p w14:paraId="119AF285" w14:textId="77777777" w:rsidR="00EA183D" w:rsidRPr="00DE06BF" w:rsidRDefault="00EA183D" w:rsidP="00EA183D">
      <w:pPr>
        <w:spacing w:after="0"/>
        <w:rPr>
          <w:rFonts w:asciiTheme="majorHAnsi" w:hAnsiTheme="majorHAnsi" w:cstheme="majorHAnsi"/>
          <w:color w:val="ED7D31" w:themeColor="accent2"/>
          <w:lang w:val="it-IT"/>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7FECE9E3" w14:textId="77777777" w:rsidTr="00636C30">
        <w:trPr>
          <w:trHeight w:val="290"/>
        </w:trPr>
        <w:tc>
          <w:tcPr>
            <w:tcW w:w="1413" w:type="dxa"/>
            <w:noWrap/>
          </w:tcPr>
          <w:p w14:paraId="00568AAC" w14:textId="77777777" w:rsidR="001D2DAA" w:rsidRPr="006F53B6" w:rsidRDefault="0051388F" w:rsidP="005A2C7D">
            <w:pPr>
              <w:spacing w:after="0" w:line="240" w:lineRule="auto"/>
              <w:rPr>
                <w:rFonts w:asciiTheme="majorHAnsi" w:hAnsiTheme="majorHAnsi" w:cstheme="majorHAnsi"/>
                <w:b/>
                <w:bCs/>
              </w:rPr>
            </w:pPr>
            <w:r w:rsidRPr="006F53B6">
              <w:rPr>
                <w:rFonts w:asciiTheme="majorHAnsi" w:hAnsiTheme="majorHAnsi" w:cstheme="majorHAnsi"/>
                <w:b/>
                <w:bCs/>
              </w:rPr>
              <w:t xml:space="preserve">Nome </w:t>
            </w:r>
            <w:proofErr w:type="spellStart"/>
            <w:r w:rsidRPr="006F53B6">
              <w:rPr>
                <w:rFonts w:asciiTheme="majorHAnsi" w:hAnsiTheme="majorHAnsi" w:cstheme="majorHAnsi"/>
                <w:b/>
                <w:bCs/>
              </w:rPr>
              <w:t>prodotto</w:t>
            </w:r>
            <w:proofErr w:type="spellEnd"/>
          </w:p>
        </w:tc>
        <w:tc>
          <w:tcPr>
            <w:tcW w:w="5953" w:type="dxa"/>
          </w:tcPr>
          <w:p w14:paraId="13129E5C" w14:textId="77777777" w:rsidR="001D2DAA" w:rsidRPr="006F53B6" w:rsidRDefault="0051388F"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Denominazione</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della</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sostanza</w:t>
            </w:r>
            <w:proofErr w:type="spellEnd"/>
          </w:p>
        </w:tc>
        <w:tc>
          <w:tcPr>
            <w:tcW w:w="1696" w:type="dxa"/>
          </w:tcPr>
          <w:p w14:paraId="4C51F9E7" w14:textId="77777777" w:rsidR="001D2DAA" w:rsidRPr="006F53B6" w:rsidRDefault="0051388F" w:rsidP="005A2C7D">
            <w:pPr>
              <w:spacing w:after="0" w:line="240" w:lineRule="auto"/>
              <w:rPr>
                <w:rFonts w:asciiTheme="majorHAnsi" w:hAnsiTheme="majorHAnsi" w:cstheme="majorHAnsi"/>
                <w:b/>
                <w:bCs/>
                <w:lang w:val="fr-FR"/>
              </w:rPr>
            </w:pPr>
            <w:r w:rsidRPr="006F53B6">
              <w:rPr>
                <w:rFonts w:asciiTheme="majorHAnsi" w:hAnsiTheme="majorHAnsi" w:cstheme="majorHAnsi"/>
                <w:b/>
                <w:bCs/>
                <w:lang w:val="fr-FR"/>
              </w:rPr>
              <w:t>N. CAS</w:t>
            </w:r>
          </w:p>
        </w:tc>
      </w:tr>
      <w:tr w:rsidR="00A751C7" w:rsidRPr="00B93A55" w14:paraId="069B2911" w14:textId="77777777" w:rsidTr="003E41E7">
        <w:trPr>
          <w:trHeight w:val="290"/>
        </w:trPr>
        <w:tc>
          <w:tcPr>
            <w:tcW w:w="9062" w:type="dxa"/>
            <w:gridSpan w:val="3"/>
            <w:noWrap/>
          </w:tcPr>
          <w:p w14:paraId="5BEBF822"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6F3CD674" w14:textId="77777777" w:rsidTr="003E41E7">
        <w:trPr>
          <w:trHeight w:val="290"/>
        </w:trPr>
        <w:tc>
          <w:tcPr>
            <w:tcW w:w="1413" w:type="dxa"/>
            <w:noWrap/>
            <w:hideMark/>
          </w:tcPr>
          <w:p w14:paraId="09831632"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04F7254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85ECA1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77BF3B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9420DD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61916AB"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7B876EB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5B059F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9777A8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7A51A5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3F0280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222B34F2" w14:textId="77777777" w:rsidTr="003E41E7">
        <w:trPr>
          <w:trHeight w:val="1448"/>
        </w:trPr>
        <w:tc>
          <w:tcPr>
            <w:tcW w:w="1413" w:type="dxa"/>
            <w:noWrap/>
            <w:hideMark/>
          </w:tcPr>
          <w:p w14:paraId="0BFC23A5"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62F01C0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06FFD0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34AD02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81F72F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98ADDB9"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0F68FA9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963554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2CAF1B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EA6BA9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D50070D"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790BBF2" w14:textId="77777777" w:rsidTr="003E41E7">
        <w:trPr>
          <w:trHeight w:val="290"/>
        </w:trPr>
        <w:tc>
          <w:tcPr>
            <w:tcW w:w="1413" w:type="dxa"/>
            <w:noWrap/>
            <w:hideMark/>
          </w:tcPr>
          <w:p w14:paraId="6E9AFCBB"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4ADE837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565B3C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9AFEEA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D63706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ADD1E26"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6FDA911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EFDE24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CDF52A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E72B0B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0F2A42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54380E59" w14:textId="77777777" w:rsidTr="003E41E7">
        <w:trPr>
          <w:trHeight w:val="290"/>
        </w:trPr>
        <w:tc>
          <w:tcPr>
            <w:tcW w:w="9062" w:type="dxa"/>
            <w:gridSpan w:val="3"/>
            <w:noWrap/>
          </w:tcPr>
          <w:p w14:paraId="168700D8"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735439C2"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58B48CC"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4B74732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D719B9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A6AF18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3C1BE8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AB7617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822E7F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1303-86-2</w:t>
            </w:r>
          </w:p>
          <w:p w14:paraId="2E29275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BD6710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CBAACC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084022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2451-62-9</w:t>
            </w:r>
          </w:p>
        </w:tc>
      </w:tr>
      <w:tr w:rsidR="00A751C7" w14:paraId="3418267C"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138B746"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77DBAC3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16A347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26A812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AE8C40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EB50FB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0329C5B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492C14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D0E1C7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167A17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FAABCC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1A751B11"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1D892BE1"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32651F7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C760CE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7DAA60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A1F605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0BF934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081713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0E233A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0E5AA7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5C8CA8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30D90B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026AC859"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199C0E34"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12D9AF1E"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441FDDA7"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15871BA6"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7B3C69D2"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57B4982C"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63EA5A1"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6C64DC90"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746E80A9"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4E4AD971"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28849C3E"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467B8C98"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5594BF4B"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507A7765"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CCD86BA"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43B6497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32C2C8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0B5CF0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9D4F78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A2976D2"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53C042A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11C933B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ED1DEC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45C565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568ACD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BBC2D50"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7D235B8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6946AE1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543508F"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027642E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0DF0B62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68834F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26570F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8AC00F5"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59ADA48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58E7E2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68987B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528352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28BB92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54B493E"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34457FD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A4595F7"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7920877"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185BA21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0E65EC3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72341E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EA54CC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67E8DB6"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000F53C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70E299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55EBBC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E56D00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3779DB9"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EEA7B61"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448C026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5FCF6484" w14:textId="77777777" w:rsidR="00636C30" w:rsidRDefault="00636C30" w:rsidP="00636C30">
      <w:pPr>
        <w:rPr>
          <w:rFonts w:asciiTheme="majorHAnsi" w:hAnsiTheme="majorHAnsi" w:cstheme="majorHAnsi"/>
        </w:rPr>
      </w:pPr>
    </w:p>
    <w:p w14:paraId="2A5D8FF5" w14:textId="77777777" w:rsidR="001D2DAA" w:rsidRDefault="001D2DAA" w:rsidP="001D2DAA">
      <w:pPr>
        <w:rPr>
          <w:rFonts w:asciiTheme="majorHAnsi" w:hAnsiTheme="majorHAnsi" w:cstheme="majorHAnsi"/>
        </w:rPr>
      </w:pPr>
    </w:p>
    <w:p w14:paraId="62686EB6" w14:textId="77777777" w:rsidR="001D2DAA" w:rsidRDefault="001D2DAA" w:rsidP="001D2DAA">
      <w:pPr>
        <w:rPr>
          <w:rFonts w:asciiTheme="majorHAnsi" w:hAnsiTheme="majorHAnsi" w:cstheme="majorHAnsi"/>
        </w:rPr>
      </w:pPr>
      <w:r>
        <w:rPr>
          <w:rFonts w:asciiTheme="majorHAnsi" w:hAnsiTheme="majorHAnsi" w:cstheme="majorHAnsi"/>
        </w:rPr>
        <w:br w:type="page"/>
      </w:r>
    </w:p>
    <w:p w14:paraId="32FF2246"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00D2B791"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2ED8EAE0"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52B76BDE"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61B1F67B"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0349B224"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3D43C04E"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6B355723"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785CD2A5"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1C0A0AB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484AC5CF"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7793652C"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6C9D340E"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65E2ECA7"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4D9DAE57"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35361A1F"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7794DAEB"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39AE2AF1" w14:textId="77777777" w:rsidR="001D2DAA" w:rsidRPr="00977090" w:rsidRDefault="001D2DAA" w:rsidP="001D2DAA">
      <w:pPr>
        <w:pStyle w:val="Default"/>
        <w:rPr>
          <w:rFonts w:asciiTheme="majorHAnsi" w:hAnsiTheme="majorHAnsi" w:cstheme="majorHAnsi"/>
          <w:color w:val="auto"/>
          <w:sz w:val="22"/>
          <w:szCs w:val="22"/>
        </w:rPr>
      </w:pPr>
    </w:p>
    <w:p w14:paraId="69B23830" w14:textId="77777777" w:rsidR="00170FB5" w:rsidRPr="006F53B6" w:rsidRDefault="00170FB5" w:rsidP="006F53B6">
      <w:pPr>
        <w:spacing w:after="0"/>
        <w:jc w:val="both"/>
        <w:rPr>
          <w:rFonts w:asciiTheme="majorHAnsi" w:hAnsiTheme="majorHAnsi" w:cstheme="majorHAnsi"/>
        </w:rPr>
      </w:pPr>
      <w:r w:rsidRPr="006F53B6">
        <w:rPr>
          <w:rFonts w:asciiTheme="majorHAnsi" w:hAnsiTheme="majorHAnsi" w:cstheme="majorHAnsi"/>
        </w:rPr>
        <w:t xml:space="preserve">GE Healthcare </w:t>
      </w:r>
      <w:proofErr w:type="spellStart"/>
      <w:r w:rsidRPr="006F53B6">
        <w:rPr>
          <w:rFonts w:asciiTheme="majorHAnsi" w:hAnsiTheme="majorHAnsi" w:cstheme="majorHAnsi"/>
        </w:rPr>
        <w:t>sadarbojas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ar</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saviem</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piegādātājiem</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lai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nodrošinātu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atbilstību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Eiropas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Savienībā</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importētajām</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vai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ražotajām</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precēm</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uz</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kurām</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attiecas</w:t>
      </w:r>
      <w:proofErr w:type="spellEnd"/>
      <w:r w:rsidRPr="006F53B6">
        <w:rPr>
          <w:rFonts w:asciiTheme="majorHAnsi" w:hAnsiTheme="majorHAnsi" w:cstheme="majorHAnsi"/>
        </w:rPr>
        <w:t xml:space="preserve"> REACH </w:t>
      </w:r>
      <w:proofErr w:type="spellStart"/>
      <w:r w:rsidRPr="006F53B6">
        <w:rPr>
          <w:rFonts w:asciiTheme="majorHAnsi" w:hAnsiTheme="majorHAnsi" w:cstheme="majorHAnsi"/>
        </w:rPr>
        <w:t>regulas</w:t>
      </w:r>
      <w:proofErr w:type="spellEnd"/>
      <w:r w:rsidRPr="006F53B6">
        <w:rPr>
          <w:rFonts w:asciiTheme="majorHAnsi" w:hAnsiTheme="majorHAnsi" w:cstheme="majorHAnsi"/>
        </w:rPr>
        <w:t xml:space="preserve"> (EK Nr. 1907/2006) 33. pants un kas </w:t>
      </w:r>
      <w:proofErr w:type="spellStart"/>
      <w:r w:rsidRPr="006F53B6">
        <w:rPr>
          <w:rFonts w:asciiTheme="majorHAnsi" w:hAnsiTheme="majorHAnsi" w:cstheme="majorHAnsi"/>
        </w:rPr>
        <w:t>tiek</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izmantotas</w:t>
      </w:r>
      <w:proofErr w:type="spellEnd"/>
      <w:r w:rsidRPr="006F53B6">
        <w:rPr>
          <w:rFonts w:asciiTheme="majorHAnsi" w:hAnsiTheme="majorHAnsi" w:cstheme="majorHAnsi"/>
        </w:rPr>
        <w:t xml:space="preserve"> GE Healthcare </w:t>
      </w:r>
      <w:proofErr w:type="spellStart"/>
      <w:r w:rsidRPr="006F53B6">
        <w:rPr>
          <w:rFonts w:asciiTheme="majorHAnsi" w:hAnsiTheme="majorHAnsi" w:cstheme="majorHAnsi"/>
        </w:rPr>
        <w:t>produktu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ražošanā</w:t>
      </w:r>
      <w:proofErr w:type="spellEnd"/>
      <w:r w:rsidRPr="006F53B6">
        <w:rPr>
          <w:rFonts w:asciiTheme="majorHAnsi" w:hAnsiTheme="majorHAnsi" w:cstheme="majorHAnsi"/>
        </w:rPr>
        <w:t xml:space="preserve">. </w:t>
      </w:r>
    </w:p>
    <w:p w14:paraId="75228511" w14:textId="1ED7E03E" w:rsidR="00170FB5" w:rsidRPr="006F53B6" w:rsidRDefault="00170FB5" w:rsidP="006F53B6">
      <w:pPr>
        <w:spacing w:after="0"/>
        <w:jc w:val="both"/>
        <w:rPr>
          <w:rFonts w:asciiTheme="majorHAnsi" w:hAnsiTheme="majorHAnsi" w:cstheme="majorHAnsi"/>
        </w:rPr>
      </w:pPr>
      <w:proofErr w:type="spellStart"/>
      <w:r w:rsidRPr="006F53B6">
        <w:rPr>
          <w:rFonts w:asciiTheme="majorHAnsi" w:hAnsiTheme="majorHAnsi" w:cstheme="majorHAnsi"/>
        </w:rPr>
        <w:t>Attiecībā</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uz</w:t>
      </w:r>
      <w:proofErr w:type="spellEnd"/>
      <w:r w:rsidRPr="006F53B6">
        <w:rPr>
          <w:rFonts w:asciiTheme="majorHAnsi" w:hAnsiTheme="majorHAnsi" w:cstheme="majorHAnsi"/>
        </w:rPr>
        <w:t xml:space="preserve"> REACH </w:t>
      </w:r>
      <w:proofErr w:type="spellStart"/>
      <w:r w:rsidRPr="006F53B6">
        <w:rPr>
          <w:rFonts w:asciiTheme="majorHAnsi" w:hAnsiTheme="majorHAnsi" w:cstheme="majorHAnsi"/>
        </w:rPr>
        <w:t>regulas</w:t>
      </w:r>
      <w:proofErr w:type="spellEnd"/>
      <w:r w:rsidRPr="006F53B6">
        <w:rPr>
          <w:rFonts w:asciiTheme="majorHAnsi" w:hAnsiTheme="majorHAnsi" w:cstheme="majorHAnsi"/>
        </w:rPr>
        <w:t xml:space="preserve"> 33. </w:t>
      </w:r>
      <w:proofErr w:type="spellStart"/>
      <w:r w:rsidRPr="006F53B6">
        <w:rPr>
          <w:rFonts w:asciiTheme="majorHAnsi" w:hAnsiTheme="majorHAnsi" w:cstheme="majorHAnsi"/>
        </w:rPr>
        <w:t>panta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pielietojumu</w:t>
      </w:r>
      <w:proofErr w:type="spellEnd"/>
      <w:r w:rsidRPr="006F53B6">
        <w:rPr>
          <w:rFonts w:asciiTheme="majorHAnsi" w:hAnsiTheme="majorHAnsi" w:cstheme="majorHAnsi"/>
        </w:rPr>
        <w:t xml:space="preserve"> un </w:t>
      </w:r>
      <w:proofErr w:type="spellStart"/>
      <w:r w:rsidRPr="006F53B6">
        <w:rPr>
          <w:rFonts w:asciiTheme="majorHAnsi" w:hAnsiTheme="majorHAnsi" w:cstheme="majorHAnsi"/>
        </w:rPr>
        <w:t>kandidātvielu</w:t>
      </w:r>
      <w:proofErr w:type="spellEnd"/>
      <w:r w:rsidRPr="006F53B6">
        <w:rPr>
          <w:rFonts w:asciiTheme="majorHAnsi" w:hAnsiTheme="majorHAnsi" w:cstheme="majorHAnsi"/>
        </w:rPr>
        <w:t xml:space="preserve">, kas </w:t>
      </w:r>
      <w:proofErr w:type="spellStart"/>
      <w:r w:rsidRPr="006F53B6">
        <w:rPr>
          <w:rFonts w:asciiTheme="majorHAnsi" w:hAnsiTheme="majorHAnsi" w:cstheme="majorHAnsi"/>
        </w:rPr>
        <w:t>rada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ļoti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lielas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bažas</w:t>
      </w:r>
      <w:proofErr w:type="spellEnd"/>
      <w:r w:rsidRPr="006F53B6">
        <w:rPr>
          <w:rFonts w:asciiTheme="majorHAnsi" w:hAnsiTheme="majorHAnsi" w:cstheme="majorHAnsi"/>
        </w:rPr>
        <w:t xml:space="preserve"> (SVHC), </w:t>
      </w:r>
      <w:proofErr w:type="spellStart"/>
      <w:r w:rsidRPr="006F53B6">
        <w:rPr>
          <w:rFonts w:asciiTheme="majorHAnsi" w:hAnsiTheme="majorHAnsi" w:cstheme="majorHAnsi"/>
        </w:rPr>
        <w:t>publikāciju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saskaņā</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ar</w:t>
      </w:r>
      <w:proofErr w:type="spellEnd"/>
      <w:r w:rsidRPr="006F53B6">
        <w:rPr>
          <w:rFonts w:asciiTheme="majorHAnsi" w:hAnsiTheme="majorHAnsi" w:cstheme="majorHAnsi"/>
        </w:rPr>
        <w:t xml:space="preserve"> REACH </w:t>
      </w:r>
      <w:proofErr w:type="spellStart"/>
      <w:r w:rsidRPr="006F53B6">
        <w:rPr>
          <w:rFonts w:asciiTheme="majorHAnsi" w:hAnsiTheme="majorHAnsi" w:cstheme="majorHAnsi"/>
        </w:rPr>
        <w:t>regulas</w:t>
      </w:r>
      <w:proofErr w:type="spellEnd"/>
      <w:r w:rsidRPr="006F53B6">
        <w:rPr>
          <w:rFonts w:asciiTheme="majorHAnsi" w:hAnsiTheme="majorHAnsi" w:cstheme="majorHAnsi"/>
        </w:rPr>
        <w:t xml:space="preserve"> 59. </w:t>
      </w:r>
      <w:proofErr w:type="spellStart"/>
      <w:r w:rsidRPr="006F53B6">
        <w:rPr>
          <w:rFonts w:asciiTheme="majorHAnsi" w:hAnsiTheme="majorHAnsi" w:cstheme="majorHAnsi"/>
        </w:rPr>
        <w:t>pantu</w:t>
      </w:r>
      <w:proofErr w:type="spellEnd"/>
      <w:r w:rsidRPr="006F53B6">
        <w:rPr>
          <w:rFonts w:asciiTheme="majorHAnsi" w:hAnsiTheme="majorHAnsi" w:cstheme="majorHAnsi"/>
        </w:rPr>
        <w:t xml:space="preserve"> GE Healthcare </w:t>
      </w:r>
      <w:proofErr w:type="spellStart"/>
      <w:r w:rsidRPr="006F53B6">
        <w:rPr>
          <w:rFonts w:asciiTheme="majorHAnsi" w:hAnsiTheme="majorHAnsi" w:cstheme="majorHAnsi"/>
        </w:rPr>
        <w:t>apzinās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savas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likumīgās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saistības</w:t>
      </w:r>
      <w:proofErr w:type="spellEnd"/>
      <w:r w:rsidRPr="006F53B6">
        <w:rPr>
          <w:rFonts w:asciiTheme="majorHAnsi" w:hAnsiTheme="majorHAnsi" w:cstheme="majorHAnsi"/>
        </w:rPr>
        <w:t xml:space="preserve"> un </w:t>
      </w:r>
      <w:proofErr w:type="spellStart"/>
      <w:r w:rsidRPr="006F53B6">
        <w:rPr>
          <w:rFonts w:asciiTheme="majorHAnsi" w:hAnsiTheme="majorHAnsi" w:cstheme="majorHAnsi"/>
        </w:rPr>
        <w:t>tās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ievēros</w:t>
      </w:r>
      <w:proofErr w:type="spellEnd"/>
      <w:r w:rsidRPr="006F53B6">
        <w:rPr>
          <w:rFonts w:asciiTheme="majorHAnsi" w:hAnsiTheme="majorHAnsi" w:cstheme="majorHAnsi"/>
        </w:rPr>
        <w:t xml:space="preserve">. </w:t>
      </w:r>
    </w:p>
    <w:p w14:paraId="4857D223" w14:textId="77777777" w:rsidR="00170FB5" w:rsidRPr="006F53B6" w:rsidRDefault="00170FB5" w:rsidP="006F53B6">
      <w:pPr>
        <w:spacing w:after="0"/>
        <w:jc w:val="both"/>
        <w:rPr>
          <w:rFonts w:asciiTheme="majorHAnsi" w:hAnsiTheme="majorHAnsi" w:cstheme="majorHAnsi"/>
        </w:rPr>
      </w:pPr>
      <w:r w:rsidRPr="006F53B6">
        <w:rPr>
          <w:rFonts w:asciiTheme="majorHAnsi" w:hAnsiTheme="majorHAnsi" w:cstheme="majorHAnsi"/>
        </w:rPr>
        <w:t xml:space="preserve">GE Healthcare preces </w:t>
      </w:r>
      <w:proofErr w:type="spellStart"/>
      <w:r w:rsidRPr="006F53B6">
        <w:rPr>
          <w:rFonts w:asciiTheme="majorHAnsi" w:hAnsiTheme="majorHAnsi" w:cstheme="majorHAnsi"/>
        </w:rPr>
        <w:t>normālos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lietošanas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apstākļos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tīši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neizdala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vielas</w:t>
      </w:r>
      <w:proofErr w:type="spellEnd"/>
      <w:r w:rsidRPr="006F53B6">
        <w:rPr>
          <w:rFonts w:asciiTheme="majorHAnsi" w:hAnsiTheme="majorHAnsi" w:cstheme="majorHAnsi"/>
        </w:rPr>
        <w:t xml:space="preserve">. </w:t>
      </w:r>
    </w:p>
    <w:p w14:paraId="6C257762" w14:textId="280B0F96" w:rsidR="001D2DAA" w:rsidRPr="006F53B6" w:rsidRDefault="00750DD6" w:rsidP="006F53B6">
      <w:pPr>
        <w:spacing w:after="0"/>
        <w:jc w:val="both"/>
        <w:rPr>
          <w:rFonts w:asciiTheme="majorHAnsi" w:hAnsiTheme="majorHAnsi" w:cstheme="majorHAnsi"/>
        </w:rPr>
      </w:pPr>
      <w:proofErr w:type="spellStart"/>
      <w:r w:rsidRPr="006F53B6">
        <w:rPr>
          <w:rFonts w:asciiTheme="majorHAnsi" w:hAnsiTheme="majorHAnsi" w:cstheme="majorHAnsi"/>
        </w:rPr>
        <w:t>Pamatojoties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uz</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mūsu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piegādātāju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sniegto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informāciju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šīs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vielas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turpmāk</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minētajos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produktos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ir</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koncentrācijā</w:t>
      </w:r>
      <w:proofErr w:type="spellEnd"/>
      <w:r w:rsidRPr="006F53B6">
        <w:rPr>
          <w:rFonts w:asciiTheme="majorHAnsi" w:hAnsiTheme="majorHAnsi" w:cstheme="majorHAnsi"/>
        </w:rPr>
        <w:t xml:space="preserve">, kas var </w:t>
      </w:r>
      <w:proofErr w:type="spellStart"/>
      <w:r w:rsidRPr="006F53B6">
        <w:rPr>
          <w:rFonts w:asciiTheme="majorHAnsi" w:hAnsiTheme="majorHAnsi" w:cstheme="majorHAnsi"/>
        </w:rPr>
        <w:t>pārsniegt</w:t>
      </w:r>
      <w:proofErr w:type="spellEnd"/>
      <w:r w:rsidRPr="006F53B6">
        <w:rPr>
          <w:rFonts w:asciiTheme="majorHAnsi" w:hAnsiTheme="majorHAnsi" w:cstheme="majorHAnsi"/>
        </w:rPr>
        <w:t xml:space="preserve"> 0,1 % </w:t>
      </w:r>
      <w:proofErr w:type="spellStart"/>
      <w:r w:rsidRPr="006F53B6">
        <w:rPr>
          <w:rFonts w:asciiTheme="majorHAnsi" w:hAnsiTheme="majorHAnsi" w:cstheme="majorHAnsi"/>
        </w:rPr>
        <w:t>svara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robežvērtību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pēc</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svara</w:t>
      </w:r>
      <w:proofErr w:type="spellEnd"/>
      <w:r w:rsidRPr="006F53B6">
        <w:rPr>
          <w:rFonts w:asciiTheme="majorHAnsi" w:hAnsiTheme="majorHAnsi" w:cstheme="majorHAnsi"/>
        </w:rPr>
        <w:t xml:space="preserve"> preces </w:t>
      </w:r>
      <w:proofErr w:type="spellStart"/>
      <w:r w:rsidRPr="006F53B6">
        <w:rPr>
          <w:rFonts w:asciiTheme="majorHAnsi" w:hAnsiTheme="majorHAnsi" w:cstheme="majorHAnsi"/>
        </w:rPr>
        <w:t>līmenī</w:t>
      </w:r>
      <w:proofErr w:type="spellEnd"/>
      <w:r w:rsidRPr="006F53B6">
        <w:rPr>
          <w:rFonts w:asciiTheme="majorHAnsi" w:hAnsiTheme="majorHAnsi" w:cstheme="majorHAnsi"/>
        </w:rPr>
        <w:t>:</w:t>
      </w:r>
    </w:p>
    <w:p w14:paraId="7461CF4D" w14:textId="77777777" w:rsidR="00170FB5" w:rsidRPr="006706BE" w:rsidRDefault="00170FB5" w:rsidP="00170FB5">
      <w:pPr>
        <w:rPr>
          <w:rFonts w:asciiTheme="majorHAnsi" w:hAnsiTheme="majorHAnsi" w:cstheme="majorHAnsi"/>
          <w:color w:val="ED7D31" w:themeColor="accent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082F8C5A" w14:textId="77777777" w:rsidTr="00636C30">
        <w:trPr>
          <w:trHeight w:val="290"/>
        </w:trPr>
        <w:tc>
          <w:tcPr>
            <w:tcW w:w="1413" w:type="dxa"/>
            <w:noWrap/>
          </w:tcPr>
          <w:p w14:paraId="675AC1F8" w14:textId="77777777" w:rsidR="001D2DAA" w:rsidRPr="006F53B6" w:rsidRDefault="006B5C89"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Izstrādājuma</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nosaukums</w:t>
            </w:r>
            <w:proofErr w:type="spellEnd"/>
          </w:p>
        </w:tc>
        <w:tc>
          <w:tcPr>
            <w:tcW w:w="5953" w:type="dxa"/>
          </w:tcPr>
          <w:p w14:paraId="1FD030D2" w14:textId="77777777" w:rsidR="001D2DAA" w:rsidRPr="006F53B6" w:rsidRDefault="006B5C89"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Viela</w:t>
            </w:r>
            <w:proofErr w:type="spellEnd"/>
          </w:p>
        </w:tc>
        <w:tc>
          <w:tcPr>
            <w:tcW w:w="1696" w:type="dxa"/>
          </w:tcPr>
          <w:p w14:paraId="10EDA715" w14:textId="77777777" w:rsidR="001D2DAA" w:rsidRPr="006F53B6" w:rsidRDefault="006B5C89" w:rsidP="005A2C7D">
            <w:pPr>
              <w:spacing w:after="0" w:line="240" w:lineRule="auto"/>
              <w:rPr>
                <w:rFonts w:asciiTheme="majorHAnsi" w:hAnsiTheme="majorHAnsi" w:cstheme="majorHAnsi"/>
                <w:b/>
                <w:bCs/>
                <w:lang w:val="fr-FR"/>
              </w:rPr>
            </w:pPr>
            <w:r w:rsidRPr="006F53B6">
              <w:rPr>
                <w:rFonts w:asciiTheme="majorHAnsi" w:hAnsiTheme="majorHAnsi" w:cstheme="majorHAnsi"/>
                <w:b/>
                <w:bCs/>
                <w:lang w:val="fr-FR"/>
              </w:rPr>
              <w:t>CAS Nr.</w:t>
            </w:r>
          </w:p>
        </w:tc>
      </w:tr>
      <w:tr w:rsidR="00A751C7" w:rsidRPr="00B93A55" w14:paraId="2935A81F" w14:textId="77777777" w:rsidTr="003E41E7">
        <w:trPr>
          <w:trHeight w:val="290"/>
        </w:trPr>
        <w:tc>
          <w:tcPr>
            <w:tcW w:w="9062" w:type="dxa"/>
            <w:gridSpan w:val="3"/>
            <w:noWrap/>
          </w:tcPr>
          <w:p w14:paraId="04A42BEC"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746CEC8F" w14:textId="77777777" w:rsidTr="003E41E7">
        <w:trPr>
          <w:trHeight w:val="290"/>
        </w:trPr>
        <w:tc>
          <w:tcPr>
            <w:tcW w:w="1413" w:type="dxa"/>
            <w:noWrap/>
            <w:hideMark/>
          </w:tcPr>
          <w:p w14:paraId="0A7F6743"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54A9191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63406C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4F408E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107852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88CECB5"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5161C20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E5D848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4B0E2F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0FEF31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FC1AF3F"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12BB8339" w14:textId="77777777" w:rsidTr="003E41E7">
        <w:trPr>
          <w:trHeight w:val="1448"/>
        </w:trPr>
        <w:tc>
          <w:tcPr>
            <w:tcW w:w="1413" w:type="dxa"/>
            <w:noWrap/>
            <w:hideMark/>
          </w:tcPr>
          <w:p w14:paraId="11BC20B7"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793FBC3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D24322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0A476B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06AB94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9518844"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77E5857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3B3F4F7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6D7C16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E24337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DD8016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1528247" w14:textId="77777777" w:rsidTr="003E41E7">
        <w:trPr>
          <w:trHeight w:val="290"/>
        </w:trPr>
        <w:tc>
          <w:tcPr>
            <w:tcW w:w="1413" w:type="dxa"/>
            <w:noWrap/>
            <w:hideMark/>
          </w:tcPr>
          <w:p w14:paraId="3EA5E644"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7D7FA04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433F0D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7AB8BD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B1FF31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3BCD613"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5E6D7D4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96B051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9AF6BC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9C7312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9B64A70"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22EEDD27" w14:textId="77777777" w:rsidTr="003E41E7">
        <w:trPr>
          <w:trHeight w:val="290"/>
        </w:trPr>
        <w:tc>
          <w:tcPr>
            <w:tcW w:w="9062" w:type="dxa"/>
            <w:gridSpan w:val="3"/>
            <w:noWrap/>
          </w:tcPr>
          <w:p w14:paraId="155CC499"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7BFADEBE"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0A6E427"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5D8B94D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ED9F2C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A4424C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34471C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3CE176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04643C5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46B5D0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5DC885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86777A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46619D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7A1B5642"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62400659"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4D4070C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C326F9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5EF8E4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23324C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F15882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814448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3C9637E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9EC582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B00022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A5F6E68"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73F45E50"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5C910F3"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0D9BEE3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20E160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16F31C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1D4899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1AF1C7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5E45E1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4FBA80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569C31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56D820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521FD04"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15BE7848"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00D3176E"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3D368DE2"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70EDF669"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7413013E"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1823A555"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2A8A6075"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19A33349"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24F335A3"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215D77F2"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19CF4E91"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4105C760"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2A7F0115"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471923CB"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2D89119F"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65595067"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2E6E6E1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D8226B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513594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255A24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A3E9C2A"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6EF9B71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CF20AA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C8EA68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79702A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74E6FE7"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727CE94"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2D2CDF8E"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3256605C"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E75BBBA"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05AFCCE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45476F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7657CC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B71F42F"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DB1609A"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08D3D04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0E9456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0192B1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0969F3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D66F1F9"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15DB400"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12CF35F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254ABF8E"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6BB672A"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4E71838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3CEF67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5D2A7D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D7EF219"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A1A8BFC"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177939C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0A9A0F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69012B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02BF10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0CA192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43463FB"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78EC88D8"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14A13C07" w14:textId="77777777" w:rsidR="00636C30" w:rsidRDefault="00636C30" w:rsidP="00636C30">
      <w:pPr>
        <w:rPr>
          <w:rFonts w:asciiTheme="majorHAnsi" w:hAnsiTheme="majorHAnsi" w:cstheme="majorHAnsi"/>
        </w:rPr>
      </w:pPr>
    </w:p>
    <w:p w14:paraId="2BF2F3FE" w14:textId="77777777" w:rsidR="001D2DAA" w:rsidRDefault="001D2DAA" w:rsidP="001D2DAA">
      <w:pPr>
        <w:rPr>
          <w:rFonts w:asciiTheme="majorHAnsi" w:hAnsiTheme="majorHAnsi" w:cstheme="majorHAnsi"/>
        </w:rPr>
      </w:pPr>
    </w:p>
    <w:p w14:paraId="22872101" w14:textId="77777777" w:rsidR="001D2DAA" w:rsidRDefault="001D2DAA" w:rsidP="001D2DAA">
      <w:pPr>
        <w:rPr>
          <w:rFonts w:asciiTheme="majorHAnsi" w:hAnsiTheme="majorHAnsi" w:cstheme="majorHAnsi"/>
        </w:rPr>
      </w:pPr>
      <w:r>
        <w:rPr>
          <w:rFonts w:asciiTheme="majorHAnsi" w:hAnsiTheme="majorHAnsi" w:cstheme="majorHAnsi"/>
        </w:rPr>
        <w:br w:type="page"/>
      </w:r>
    </w:p>
    <w:p w14:paraId="28A944D5"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00C2697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3D55862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150934CF"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1D3B9A94"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12A5EE25"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02ADB4C5"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5CFCAD4D"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6491449B"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3401D2CA"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4500591D"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39677D2F"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523A5122"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2247761F"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2A8B44E7"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3BDF09E4"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768B3D9A"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3856D4B8" w14:textId="77777777" w:rsidR="001D2DAA" w:rsidRPr="00977090" w:rsidRDefault="001D2DAA" w:rsidP="001D2DAA">
      <w:pPr>
        <w:pStyle w:val="Default"/>
        <w:rPr>
          <w:rFonts w:asciiTheme="majorHAnsi" w:hAnsiTheme="majorHAnsi" w:cstheme="majorHAnsi"/>
          <w:color w:val="auto"/>
          <w:sz w:val="22"/>
          <w:szCs w:val="22"/>
        </w:rPr>
      </w:pPr>
    </w:p>
    <w:p w14:paraId="762B6764" w14:textId="77777777" w:rsidR="00051745" w:rsidRPr="006F53B6" w:rsidRDefault="00051745" w:rsidP="006F53B6">
      <w:pPr>
        <w:spacing w:after="0"/>
        <w:jc w:val="both"/>
        <w:rPr>
          <w:rFonts w:asciiTheme="majorHAnsi" w:hAnsiTheme="majorHAnsi" w:cstheme="majorHAnsi"/>
        </w:rPr>
      </w:pPr>
      <w:r w:rsidRPr="006F53B6">
        <w:rPr>
          <w:rFonts w:asciiTheme="majorHAnsi" w:hAnsiTheme="majorHAnsi" w:cstheme="majorHAnsi"/>
        </w:rPr>
        <w:t xml:space="preserve">„GE </w:t>
      </w:r>
      <w:proofErr w:type="gramStart"/>
      <w:r w:rsidRPr="006F53B6">
        <w:rPr>
          <w:rFonts w:asciiTheme="majorHAnsi" w:hAnsiTheme="majorHAnsi" w:cstheme="majorHAnsi"/>
        </w:rPr>
        <w:t xml:space="preserve">Healthcare“ </w:t>
      </w:r>
      <w:proofErr w:type="spellStart"/>
      <w:r w:rsidRPr="006F53B6">
        <w:rPr>
          <w:rFonts w:asciiTheme="majorHAnsi" w:hAnsiTheme="majorHAnsi" w:cstheme="majorHAnsi"/>
        </w:rPr>
        <w:t>bendradarbiauja</w:t>
      </w:r>
      <w:proofErr w:type="spellEnd"/>
      <w:proofErr w:type="gramEnd"/>
      <w:r w:rsidRPr="006F53B6">
        <w:rPr>
          <w:rFonts w:asciiTheme="majorHAnsi" w:hAnsiTheme="majorHAnsi" w:cstheme="majorHAnsi"/>
        </w:rPr>
        <w:t xml:space="preserve"> </w:t>
      </w:r>
      <w:proofErr w:type="spellStart"/>
      <w:r w:rsidRPr="006F53B6">
        <w:rPr>
          <w:rFonts w:asciiTheme="majorHAnsi" w:hAnsiTheme="majorHAnsi" w:cstheme="majorHAnsi"/>
        </w:rPr>
        <w:t>su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savo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tiekėjais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kad</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užtikrintų</w:t>
      </w:r>
      <w:proofErr w:type="spellEnd"/>
      <w:r w:rsidRPr="006F53B6">
        <w:rPr>
          <w:rFonts w:asciiTheme="majorHAnsi" w:hAnsiTheme="majorHAnsi" w:cstheme="majorHAnsi"/>
        </w:rPr>
        <w:t xml:space="preserve">, jog </w:t>
      </w:r>
      <w:proofErr w:type="spellStart"/>
      <w:r w:rsidRPr="006F53B6">
        <w:rPr>
          <w:rFonts w:asciiTheme="majorHAnsi" w:hAnsiTheme="majorHAnsi" w:cstheme="majorHAnsi"/>
        </w:rPr>
        <w:t>prekės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importuotos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arba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pagamintos</w:t>
      </w:r>
      <w:proofErr w:type="spellEnd"/>
      <w:r w:rsidRPr="006F53B6">
        <w:rPr>
          <w:rFonts w:asciiTheme="majorHAnsi" w:hAnsiTheme="majorHAnsi" w:cstheme="majorHAnsi"/>
        </w:rPr>
        <w:t xml:space="preserve"> Europos </w:t>
      </w:r>
      <w:proofErr w:type="spellStart"/>
      <w:r w:rsidRPr="006F53B6">
        <w:rPr>
          <w:rFonts w:asciiTheme="majorHAnsi" w:hAnsiTheme="majorHAnsi" w:cstheme="majorHAnsi"/>
        </w:rPr>
        <w:t>Sąjungoje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atitiktų</w:t>
      </w:r>
      <w:proofErr w:type="spellEnd"/>
      <w:r w:rsidRPr="006F53B6">
        <w:rPr>
          <w:rFonts w:asciiTheme="majorHAnsi" w:hAnsiTheme="majorHAnsi" w:cstheme="majorHAnsi"/>
        </w:rPr>
        <w:t xml:space="preserve"> REACH </w:t>
      </w:r>
      <w:proofErr w:type="spellStart"/>
      <w:r w:rsidRPr="006F53B6">
        <w:rPr>
          <w:rFonts w:asciiTheme="majorHAnsi" w:hAnsiTheme="majorHAnsi" w:cstheme="majorHAnsi"/>
        </w:rPr>
        <w:t>reglamento</w:t>
      </w:r>
      <w:proofErr w:type="spellEnd"/>
      <w:r w:rsidRPr="006F53B6">
        <w:rPr>
          <w:rFonts w:asciiTheme="majorHAnsi" w:hAnsiTheme="majorHAnsi" w:cstheme="majorHAnsi"/>
        </w:rPr>
        <w:t xml:space="preserve"> (EB Nr. 1907/2006) 33 str. </w:t>
      </w:r>
      <w:proofErr w:type="spellStart"/>
      <w:r w:rsidRPr="006F53B6">
        <w:rPr>
          <w:rFonts w:asciiTheme="majorHAnsi" w:hAnsiTheme="majorHAnsi" w:cstheme="majorHAnsi"/>
        </w:rPr>
        <w:t>nuostatas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ir</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yra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naudojamos</w:t>
      </w:r>
      <w:proofErr w:type="spellEnd"/>
      <w:r w:rsidRPr="006F53B6">
        <w:rPr>
          <w:rFonts w:asciiTheme="majorHAnsi" w:hAnsiTheme="majorHAnsi" w:cstheme="majorHAnsi"/>
        </w:rPr>
        <w:t xml:space="preserve"> „GE </w:t>
      </w:r>
      <w:proofErr w:type="gramStart"/>
      <w:r w:rsidRPr="006F53B6">
        <w:rPr>
          <w:rFonts w:asciiTheme="majorHAnsi" w:hAnsiTheme="majorHAnsi" w:cstheme="majorHAnsi"/>
        </w:rPr>
        <w:t xml:space="preserve">Healthcare“ </w:t>
      </w:r>
      <w:proofErr w:type="spellStart"/>
      <w:r w:rsidRPr="006F53B6">
        <w:rPr>
          <w:rFonts w:asciiTheme="majorHAnsi" w:hAnsiTheme="majorHAnsi" w:cstheme="majorHAnsi"/>
        </w:rPr>
        <w:t>produktų</w:t>
      </w:r>
      <w:proofErr w:type="spellEnd"/>
      <w:proofErr w:type="gramEnd"/>
      <w:r w:rsidRPr="006F53B6">
        <w:rPr>
          <w:rFonts w:asciiTheme="majorHAnsi" w:hAnsiTheme="majorHAnsi" w:cstheme="majorHAnsi"/>
        </w:rPr>
        <w:t xml:space="preserve"> </w:t>
      </w:r>
      <w:proofErr w:type="spellStart"/>
      <w:r w:rsidRPr="006F53B6">
        <w:rPr>
          <w:rFonts w:asciiTheme="majorHAnsi" w:hAnsiTheme="majorHAnsi" w:cstheme="majorHAnsi"/>
        </w:rPr>
        <w:t>gamybai</w:t>
      </w:r>
      <w:proofErr w:type="spellEnd"/>
      <w:r w:rsidRPr="006F53B6">
        <w:rPr>
          <w:rFonts w:asciiTheme="majorHAnsi" w:hAnsiTheme="majorHAnsi" w:cstheme="majorHAnsi"/>
        </w:rPr>
        <w:t xml:space="preserve">. </w:t>
      </w:r>
    </w:p>
    <w:p w14:paraId="7A2A4B47" w14:textId="77777777" w:rsidR="00051745" w:rsidRPr="006F53B6" w:rsidRDefault="00051745" w:rsidP="006F53B6">
      <w:pPr>
        <w:spacing w:after="0"/>
        <w:jc w:val="both"/>
        <w:rPr>
          <w:rFonts w:asciiTheme="majorHAnsi" w:hAnsiTheme="majorHAnsi" w:cstheme="majorHAnsi"/>
        </w:rPr>
      </w:pPr>
      <w:r w:rsidRPr="006F53B6">
        <w:rPr>
          <w:rFonts w:asciiTheme="majorHAnsi" w:hAnsiTheme="majorHAnsi" w:cstheme="majorHAnsi"/>
        </w:rPr>
        <w:t xml:space="preserve">„GE </w:t>
      </w:r>
      <w:proofErr w:type="gramStart"/>
      <w:r w:rsidRPr="006F53B6">
        <w:rPr>
          <w:rFonts w:asciiTheme="majorHAnsi" w:hAnsiTheme="majorHAnsi" w:cstheme="majorHAnsi"/>
        </w:rPr>
        <w:t xml:space="preserve">Healthcare“ </w:t>
      </w:r>
      <w:proofErr w:type="spellStart"/>
      <w:r w:rsidRPr="006F53B6">
        <w:rPr>
          <w:rFonts w:asciiTheme="majorHAnsi" w:hAnsiTheme="majorHAnsi" w:cstheme="majorHAnsi"/>
        </w:rPr>
        <w:t>supranta</w:t>
      </w:r>
      <w:proofErr w:type="spellEnd"/>
      <w:proofErr w:type="gramEnd"/>
      <w:r w:rsidRPr="006F53B6">
        <w:rPr>
          <w:rFonts w:asciiTheme="majorHAnsi" w:hAnsiTheme="majorHAnsi" w:cstheme="majorHAnsi"/>
        </w:rPr>
        <w:t xml:space="preserve"> </w:t>
      </w:r>
      <w:proofErr w:type="spellStart"/>
      <w:r w:rsidRPr="006F53B6">
        <w:rPr>
          <w:rFonts w:asciiTheme="majorHAnsi" w:hAnsiTheme="majorHAnsi" w:cstheme="majorHAnsi"/>
        </w:rPr>
        <w:t>savo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teisinius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įsipareigojimus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pagal</w:t>
      </w:r>
      <w:proofErr w:type="spellEnd"/>
      <w:r w:rsidRPr="006F53B6">
        <w:rPr>
          <w:rFonts w:asciiTheme="majorHAnsi" w:hAnsiTheme="majorHAnsi" w:cstheme="majorHAnsi"/>
        </w:rPr>
        <w:t xml:space="preserve"> REACH </w:t>
      </w:r>
      <w:proofErr w:type="spellStart"/>
      <w:r w:rsidRPr="006F53B6">
        <w:rPr>
          <w:rFonts w:asciiTheme="majorHAnsi" w:hAnsiTheme="majorHAnsi" w:cstheme="majorHAnsi"/>
        </w:rPr>
        <w:t>direktyvos</w:t>
      </w:r>
      <w:proofErr w:type="spellEnd"/>
      <w:r w:rsidRPr="006F53B6">
        <w:rPr>
          <w:rFonts w:asciiTheme="majorHAnsi" w:hAnsiTheme="majorHAnsi" w:cstheme="majorHAnsi"/>
        </w:rPr>
        <w:t xml:space="preserve"> 33 str. </w:t>
      </w:r>
      <w:proofErr w:type="spellStart"/>
      <w:r w:rsidRPr="006F53B6">
        <w:rPr>
          <w:rFonts w:asciiTheme="majorHAnsi" w:hAnsiTheme="majorHAnsi" w:cstheme="majorHAnsi"/>
        </w:rPr>
        <w:t>ir</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Labai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didelį</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susirūpinimą</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keliančių</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medžiagų</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kandidatų</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sąrašą</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pagal</w:t>
      </w:r>
      <w:proofErr w:type="spellEnd"/>
      <w:r w:rsidRPr="006F53B6">
        <w:rPr>
          <w:rFonts w:asciiTheme="majorHAnsi" w:hAnsiTheme="majorHAnsi" w:cstheme="majorHAnsi"/>
        </w:rPr>
        <w:t xml:space="preserve"> REACH </w:t>
      </w:r>
      <w:proofErr w:type="spellStart"/>
      <w:r w:rsidRPr="006F53B6">
        <w:rPr>
          <w:rFonts w:asciiTheme="majorHAnsi" w:hAnsiTheme="majorHAnsi" w:cstheme="majorHAnsi"/>
        </w:rPr>
        <w:t>direktyvos</w:t>
      </w:r>
      <w:proofErr w:type="spellEnd"/>
      <w:r w:rsidRPr="006F53B6">
        <w:rPr>
          <w:rFonts w:asciiTheme="majorHAnsi" w:hAnsiTheme="majorHAnsi" w:cstheme="majorHAnsi"/>
        </w:rPr>
        <w:t xml:space="preserve"> 59 str., </w:t>
      </w:r>
      <w:proofErr w:type="spellStart"/>
      <w:r w:rsidRPr="006F53B6">
        <w:rPr>
          <w:rFonts w:asciiTheme="majorHAnsi" w:hAnsiTheme="majorHAnsi" w:cstheme="majorHAnsi"/>
        </w:rPr>
        <w:t>ir</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jų</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laikosi</w:t>
      </w:r>
      <w:proofErr w:type="spellEnd"/>
      <w:r w:rsidRPr="006F53B6">
        <w:rPr>
          <w:rFonts w:asciiTheme="majorHAnsi" w:hAnsiTheme="majorHAnsi" w:cstheme="majorHAnsi"/>
        </w:rPr>
        <w:t xml:space="preserve"> </w:t>
      </w:r>
    </w:p>
    <w:p w14:paraId="4396EEFC" w14:textId="2344FED6" w:rsidR="00051745" w:rsidRPr="006F53B6" w:rsidRDefault="00051745" w:rsidP="006F53B6">
      <w:pPr>
        <w:spacing w:after="0"/>
        <w:jc w:val="both"/>
        <w:rPr>
          <w:rFonts w:asciiTheme="majorHAnsi" w:hAnsiTheme="majorHAnsi" w:cstheme="majorHAnsi"/>
        </w:rPr>
      </w:pPr>
      <w:r w:rsidRPr="006F53B6">
        <w:rPr>
          <w:rFonts w:asciiTheme="majorHAnsi" w:hAnsiTheme="majorHAnsi" w:cstheme="majorHAnsi"/>
        </w:rPr>
        <w:t xml:space="preserve">„GE </w:t>
      </w:r>
      <w:proofErr w:type="gramStart"/>
      <w:r w:rsidRPr="006F53B6">
        <w:rPr>
          <w:rFonts w:asciiTheme="majorHAnsi" w:hAnsiTheme="majorHAnsi" w:cstheme="majorHAnsi"/>
        </w:rPr>
        <w:t xml:space="preserve">Healthcare“ </w:t>
      </w:r>
      <w:proofErr w:type="spellStart"/>
      <w:r w:rsidRPr="006F53B6">
        <w:rPr>
          <w:rFonts w:asciiTheme="majorHAnsi" w:hAnsiTheme="majorHAnsi" w:cstheme="majorHAnsi"/>
        </w:rPr>
        <w:t>produktai</w:t>
      </w:r>
      <w:proofErr w:type="spellEnd"/>
      <w:proofErr w:type="gramEnd"/>
      <w:r w:rsidRPr="006F53B6">
        <w:rPr>
          <w:rFonts w:asciiTheme="majorHAnsi" w:hAnsiTheme="majorHAnsi" w:cstheme="majorHAnsi"/>
        </w:rPr>
        <w:t xml:space="preserve"> </w:t>
      </w:r>
      <w:proofErr w:type="spellStart"/>
      <w:r w:rsidRPr="006F53B6">
        <w:rPr>
          <w:rFonts w:asciiTheme="majorHAnsi" w:hAnsiTheme="majorHAnsi" w:cstheme="majorHAnsi"/>
        </w:rPr>
        <w:t>įprastomis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naudojimo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sąlygomis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sąmoningai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neišskiria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medžiagų</w:t>
      </w:r>
      <w:proofErr w:type="spellEnd"/>
      <w:r w:rsidRPr="006F53B6">
        <w:rPr>
          <w:rFonts w:asciiTheme="majorHAnsi" w:hAnsiTheme="majorHAnsi" w:cstheme="majorHAnsi"/>
        </w:rPr>
        <w:t xml:space="preserve"> į </w:t>
      </w:r>
      <w:proofErr w:type="spellStart"/>
      <w:r w:rsidRPr="006F53B6">
        <w:rPr>
          <w:rFonts w:asciiTheme="majorHAnsi" w:hAnsiTheme="majorHAnsi" w:cstheme="majorHAnsi"/>
        </w:rPr>
        <w:t>orą</w:t>
      </w:r>
      <w:proofErr w:type="spellEnd"/>
      <w:r w:rsidRPr="006F53B6">
        <w:rPr>
          <w:rFonts w:asciiTheme="majorHAnsi" w:hAnsiTheme="majorHAnsi" w:cstheme="majorHAnsi"/>
        </w:rPr>
        <w:t xml:space="preserve">. </w:t>
      </w:r>
    </w:p>
    <w:p w14:paraId="105B0DB2" w14:textId="7E3B4809" w:rsidR="001D2DAA" w:rsidRPr="006F53B6" w:rsidRDefault="00335686" w:rsidP="006F53B6">
      <w:pPr>
        <w:spacing w:after="0"/>
        <w:jc w:val="both"/>
        <w:rPr>
          <w:rFonts w:asciiTheme="majorHAnsi" w:hAnsiTheme="majorHAnsi" w:cstheme="majorHAnsi"/>
        </w:rPr>
      </w:pPr>
      <w:proofErr w:type="spellStart"/>
      <w:r w:rsidRPr="006F53B6">
        <w:rPr>
          <w:rFonts w:asciiTheme="majorHAnsi" w:hAnsiTheme="majorHAnsi" w:cstheme="majorHAnsi"/>
        </w:rPr>
        <w:t>Remiantis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mūsų</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tiekėjų</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turima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informacija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šios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medžiagos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toliau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išvardintuose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produktuose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gali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būti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didesnės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koncentracijos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nei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ribinė</w:t>
      </w:r>
      <w:proofErr w:type="spellEnd"/>
      <w:r w:rsidRPr="006F53B6">
        <w:rPr>
          <w:rFonts w:asciiTheme="majorHAnsi" w:hAnsiTheme="majorHAnsi" w:cstheme="majorHAnsi"/>
        </w:rPr>
        <w:t xml:space="preserve"> 0,1 % </w:t>
      </w:r>
      <w:proofErr w:type="spellStart"/>
      <w:r w:rsidRPr="006F53B6">
        <w:rPr>
          <w:rFonts w:asciiTheme="majorHAnsi" w:hAnsiTheme="majorHAnsi" w:cstheme="majorHAnsi"/>
        </w:rPr>
        <w:t>svorio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pagal</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svorį</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koncentracija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prekės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lygiu</w:t>
      </w:r>
      <w:proofErr w:type="spellEnd"/>
      <w:r w:rsidRPr="006F53B6">
        <w:rPr>
          <w:rFonts w:asciiTheme="majorHAnsi" w:hAnsiTheme="majorHAnsi" w:cstheme="majorHAnsi"/>
        </w:rPr>
        <w:t>:</w:t>
      </w:r>
    </w:p>
    <w:p w14:paraId="10291878" w14:textId="77777777" w:rsidR="00051745" w:rsidRPr="006706BE" w:rsidRDefault="00051745" w:rsidP="00051745">
      <w:pPr>
        <w:rPr>
          <w:rFonts w:asciiTheme="majorHAnsi" w:hAnsiTheme="majorHAnsi" w:cstheme="majorHAnsi"/>
          <w:color w:val="ED7D31" w:themeColor="accent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35D7BED8" w14:textId="77777777" w:rsidTr="00636C30">
        <w:trPr>
          <w:trHeight w:val="290"/>
        </w:trPr>
        <w:tc>
          <w:tcPr>
            <w:tcW w:w="1413" w:type="dxa"/>
            <w:noWrap/>
          </w:tcPr>
          <w:p w14:paraId="139C6CEB" w14:textId="77777777" w:rsidR="001D2DAA" w:rsidRPr="006F53B6" w:rsidRDefault="002F01CB"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Gaminio</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pavadinimas</w:t>
            </w:r>
            <w:proofErr w:type="spellEnd"/>
          </w:p>
        </w:tc>
        <w:tc>
          <w:tcPr>
            <w:tcW w:w="5953" w:type="dxa"/>
          </w:tcPr>
          <w:p w14:paraId="730B251F" w14:textId="77777777" w:rsidR="001D2DAA" w:rsidRPr="006F53B6" w:rsidRDefault="002F01CB"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Cheminės</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medžiagos</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pavadinimas</w:t>
            </w:r>
            <w:proofErr w:type="spellEnd"/>
          </w:p>
        </w:tc>
        <w:tc>
          <w:tcPr>
            <w:tcW w:w="1696" w:type="dxa"/>
          </w:tcPr>
          <w:p w14:paraId="0D9C077B" w14:textId="77777777" w:rsidR="001D2DAA" w:rsidRPr="006F53B6" w:rsidRDefault="002F01CB" w:rsidP="005A2C7D">
            <w:pPr>
              <w:spacing w:after="0" w:line="240" w:lineRule="auto"/>
              <w:rPr>
                <w:rFonts w:asciiTheme="majorHAnsi" w:hAnsiTheme="majorHAnsi" w:cstheme="majorHAnsi"/>
                <w:b/>
                <w:bCs/>
                <w:lang w:val="fr-FR"/>
              </w:rPr>
            </w:pPr>
            <w:r w:rsidRPr="006F53B6">
              <w:rPr>
                <w:rFonts w:asciiTheme="majorHAnsi" w:hAnsiTheme="majorHAnsi" w:cstheme="majorHAnsi"/>
                <w:b/>
                <w:bCs/>
                <w:lang w:val="fr-FR"/>
              </w:rPr>
              <w:t>CAS Nr.</w:t>
            </w:r>
          </w:p>
        </w:tc>
      </w:tr>
      <w:tr w:rsidR="00A751C7" w:rsidRPr="00B93A55" w14:paraId="7E1FC923" w14:textId="77777777" w:rsidTr="003E41E7">
        <w:trPr>
          <w:trHeight w:val="290"/>
        </w:trPr>
        <w:tc>
          <w:tcPr>
            <w:tcW w:w="9062" w:type="dxa"/>
            <w:gridSpan w:val="3"/>
            <w:noWrap/>
          </w:tcPr>
          <w:p w14:paraId="124BB9B3"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615C4787" w14:textId="77777777" w:rsidTr="003E41E7">
        <w:trPr>
          <w:trHeight w:val="290"/>
        </w:trPr>
        <w:tc>
          <w:tcPr>
            <w:tcW w:w="1413" w:type="dxa"/>
            <w:noWrap/>
            <w:hideMark/>
          </w:tcPr>
          <w:p w14:paraId="24743E00"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1A7B4A4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06DCB20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BA6672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9D0D86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C0AC3F3"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440C4DF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718E7E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18598E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D48C0A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B136024"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62CFCF4D" w14:textId="77777777" w:rsidTr="003E41E7">
        <w:trPr>
          <w:trHeight w:val="1448"/>
        </w:trPr>
        <w:tc>
          <w:tcPr>
            <w:tcW w:w="1413" w:type="dxa"/>
            <w:noWrap/>
            <w:hideMark/>
          </w:tcPr>
          <w:p w14:paraId="2C30E906"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6B6862F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EAAA5F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3AE63D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438871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7A37DB6"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461A685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E2288E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DEC07C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2F4085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6F07BF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32134663" w14:textId="77777777" w:rsidTr="003E41E7">
        <w:trPr>
          <w:trHeight w:val="290"/>
        </w:trPr>
        <w:tc>
          <w:tcPr>
            <w:tcW w:w="1413" w:type="dxa"/>
            <w:noWrap/>
            <w:hideMark/>
          </w:tcPr>
          <w:p w14:paraId="59509563"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037FDDB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B68AA4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958B9C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BDD228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D815C59"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56C07F9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31ECE6E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8640F1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1A34B3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088FB08"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539A3550" w14:textId="77777777" w:rsidTr="003E41E7">
        <w:trPr>
          <w:trHeight w:val="290"/>
        </w:trPr>
        <w:tc>
          <w:tcPr>
            <w:tcW w:w="9062" w:type="dxa"/>
            <w:gridSpan w:val="3"/>
            <w:noWrap/>
          </w:tcPr>
          <w:p w14:paraId="28800DB2"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136DA84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DFC1B1F"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2BA9650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C95A58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3FCA3D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E25F02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07AF6D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585C548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92357E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BF0B7E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CCBD11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2222838"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6BCDD769"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0DDDE58"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CARDIOLAB</w:t>
            </w:r>
          </w:p>
        </w:tc>
        <w:tc>
          <w:tcPr>
            <w:tcW w:w="5953" w:type="dxa"/>
            <w:tcBorders>
              <w:top w:val="single" w:sz="4" w:space="0" w:color="auto"/>
              <w:left w:val="single" w:sz="4" w:space="0" w:color="auto"/>
              <w:bottom w:val="single" w:sz="4" w:space="0" w:color="auto"/>
              <w:right w:val="single" w:sz="4" w:space="0" w:color="auto"/>
            </w:tcBorders>
          </w:tcPr>
          <w:p w14:paraId="0AA7D06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2F2D1C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866179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FA37EA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E3DB59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006D1AA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1303-86-2</w:t>
            </w:r>
          </w:p>
          <w:p w14:paraId="74A56C7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93ED04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1317-36-8</w:t>
            </w:r>
          </w:p>
          <w:p w14:paraId="49C7DD2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37ADF1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62F6D4CC"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2CDD7B8"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MAC-LAB</w:t>
            </w:r>
          </w:p>
        </w:tc>
        <w:tc>
          <w:tcPr>
            <w:tcW w:w="5953" w:type="dxa"/>
            <w:tcBorders>
              <w:top w:val="single" w:sz="4" w:space="0" w:color="auto"/>
              <w:left w:val="single" w:sz="4" w:space="0" w:color="auto"/>
              <w:bottom w:val="single" w:sz="4" w:space="0" w:color="auto"/>
              <w:right w:val="single" w:sz="4" w:space="0" w:color="auto"/>
            </w:tcBorders>
          </w:tcPr>
          <w:p w14:paraId="3DD9A25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136683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F48895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CCA223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18EFCE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58A20B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0F15AF5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DF3C86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C5B518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652D65E"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1D2EAB64"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324E91AB"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0B3714C2"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5B23FC77"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0E993E98"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28030D22"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181BA8DF"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82A2C7B"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04F950BD"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6B9B256B"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39F77401"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652A2733"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071118BB"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2271E955"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1E2A7941"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5EE6FE9"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17481D6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49CD78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004369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CAF510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CC4D514"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262F686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03C55FA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5F29B6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73F7D5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9B7D5F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C98EF8E"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622AC73E"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63BE56C3"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E7A8362"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1D0F3F7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D026B2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0D6B15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75DD9D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67A6C97"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21A496C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239136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2AB333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CD866B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4E8B0D4"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DD479A6"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3B4BBDD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7BC8CB80"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1813747F"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3D68F71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EDB133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57D7FE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AA15149"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9B81B1D"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76F4E6D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C48FF5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077813F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4A25AB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37E3D74"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D083601"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5F0C73F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218E07A8" w14:textId="77777777" w:rsidR="00636C30" w:rsidRDefault="00636C30" w:rsidP="00636C30">
      <w:pPr>
        <w:rPr>
          <w:rFonts w:asciiTheme="majorHAnsi" w:hAnsiTheme="majorHAnsi" w:cstheme="majorHAnsi"/>
        </w:rPr>
      </w:pPr>
    </w:p>
    <w:p w14:paraId="5B61416F" w14:textId="77777777" w:rsidR="001D2DAA" w:rsidRDefault="001D2DAA" w:rsidP="001D2DAA">
      <w:pPr>
        <w:rPr>
          <w:rFonts w:asciiTheme="majorHAnsi" w:hAnsiTheme="majorHAnsi" w:cstheme="majorHAnsi"/>
        </w:rPr>
      </w:pPr>
    </w:p>
    <w:p w14:paraId="3D183290" w14:textId="77777777" w:rsidR="001D2DAA" w:rsidRDefault="001D2DAA" w:rsidP="001D2DAA">
      <w:pPr>
        <w:rPr>
          <w:rFonts w:asciiTheme="majorHAnsi" w:hAnsiTheme="majorHAnsi" w:cstheme="majorHAnsi"/>
        </w:rPr>
      </w:pPr>
      <w:r>
        <w:rPr>
          <w:rFonts w:asciiTheme="majorHAnsi" w:hAnsiTheme="majorHAnsi" w:cstheme="majorHAnsi"/>
        </w:rPr>
        <w:br w:type="page"/>
      </w:r>
    </w:p>
    <w:p w14:paraId="2168B32B"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48AE37C9"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5E9EF894"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13B32873"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5B237FB8"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7BE79BAB"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7F4BE98D"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1E4BBEEF"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5AE8A247"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29A65443"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6CFB5957"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019F57FE"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58FF68A3"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595E2C5A"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0CD856A9"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62813C54"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12F43F6E"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6E4A34D8" w14:textId="77777777" w:rsidR="001D2DAA" w:rsidRPr="00977090" w:rsidRDefault="001D2DAA" w:rsidP="001D2DAA">
      <w:pPr>
        <w:pStyle w:val="Default"/>
        <w:rPr>
          <w:rFonts w:asciiTheme="majorHAnsi" w:hAnsiTheme="majorHAnsi" w:cstheme="majorHAnsi"/>
          <w:color w:val="auto"/>
          <w:sz w:val="22"/>
          <w:szCs w:val="22"/>
        </w:rPr>
      </w:pPr>
    </w:p>
    <w:p w14:paraId="2FDA2DB1" w14:textId="77777777" w:rsidR="00D617C0" w:rsidRPr="006F53B6" w:rsidRDefault="00D617C0" w:rsidP="006F53B6">
      <w:pPr>
        <w:spacing w:after="0"/>
        <w:jc w:val="both"/>
        <w:rPr>
          <w:rFonts w:asciiTheme="majorHAnsi" w:hAnsiTheme="majorHAnsi" w:cstheme="majorHAnsi"/>
        </w:rPr>
      </w:pPr>
      <w:r w:rsidRPr="006F53B6">
        <w:rPr>
          <w:rFonts w:asciiTheme="majorHAnsi" w:hAnsiTheme="majorHAnsi" w:cstheme="majorHAnsi"/>
        </w:rPr>
        <w:t xml:space="preserve">A GE Healthcare </w:t>
      </w:r>
      <w:proofErr w:type="spellStart"/>
      <w:r w:rsidRPr="006F53B6">
        <w:rPr>
          <w:rFonts w:asciiTheme="majorHAnsi" w:hAnsiTheme="majorHAnsi" w:cstheme="majorHAnsi"/>
        </w:rPr>
        <w:t>együttműködik</w:t>
      </w:r>
      <w:proofErr w:type="spellEnd"/>
      <w:r w:rsidRPr="006F53B6">
        <w:rPr>
          <w:rFonts w:asciiTheme="majorHAnsi" w:hAnsiTheme="majorHAnsi" w:cstheme="majorHAnsi"/>
        </w:rPr>
        <w:t xml:space="preserve"> a </w:t>
      </w:r>
      <w:proofErr w:type="spellStart"/>
      <w:r w:rsidRPr="006F53B6">
        <w:rPr>
          <w:rFonts w:asciiTheme="majorHAnsi" w:hAnsiTheme="majorHAnsi" w:cstheme="majorHAnsi"/>
        </w:rPr>
        <w:t>beszállítókkal</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annak</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biztosítása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érdekében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hogy</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az</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Európai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Unióban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gyártott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az</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Európai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Unióba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importált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illetve</w:t>
      </w:r>
      <w:proofErr w:type="spellEnd"/>
      <w:r w:rsidRPr="006F53B6">
        <w:rPr>
          <w:rFonts w:asciiTheme="majorHAnsi" w:hAnsiTheme="majorHAnsi" w:cstheme="majorHAnsi"/>
        </w:rPr>
        <w:t xml:space="preserve"> a GE Healthcare </w:t>
      </w:r>
      <w:proofErr w:type="spellStart"/>
      <w:r w:rsidRPr="006F53B6">
        <w:rPr>
          <w:rFonts w:asciiTheme="majorHAnsi" w:hAnsiTheme="majorHAnsi" w:cstheme="majorHAnsi"/>
        </w:rPr>
        <w:t>termékek</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előállítása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során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felhasznált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árucikkek</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megfeleljenek</w:t>
      </w:r>
      <w:proofErr w:type="spellEnd"/>
      <w:r w:rsidRPr="006F53B6">
        <w:rPr>
          <w:rFonts w:asciiTheme="majorHAnsi" w:hAnsiTheme="majorHAnsi" w:cstheme="majorHAnsi"/>
        </w:rPr>
        <w:t xml:space="preserve"> a REACH </w:t>
      </w:r>
      <w:proofErr w:type="spellStart"/>
      <w:r w:rsidRPr="006F53B6">
        <w:rPr>
          <w:rFonts w:asciiTheme="majorHAnsi" w:hAnsiTheme="majorHAnsi" w:cstheme="majorHAnsi"/>
        </w:rPr>
        <w:t>szabályozás</w:t>
      </w:r>
      <w:proofErr w:type="spellEnd"/>
      <w:r w:rsidRPr="006F53B6">
        <w:rPr>
          <w:rFonts w:asciiTheme="majorHAnsi" w:hAnsiTheme="majorHAnsi" w:cstheme="majorHAnsi"/>
        </w:rPr>
        <w:t xml:space="preserve"> (EK 1907/2006) 33-as </w:t>
      </w:r>
      <w:proofErr w:type="spellStart"/>
      <w:r w:rsidRPr="006F53B6">
        <w:rPr>
          <w:rFonts w:asciiTheme="majorHAnsi" w:hAnsiTheme="majorHAnsi" w:cstheme="majorHAnsi"/>
        </w:rPr>
        <w:t>cikkelyének</w:t>
      </w:r>
      <w:proofErr w:type="spellEnd"/>
      <w:r w:rsidRPr="006F53B6">
        <w:rPr>
          <w:rFonts w:asciiTheme="majorHAnsi" w:hAnsiTheme="majorHAnsi" w:cstheme="majorHAnsi"/>
        </w:rPr>
        <w:t xml:space="preserve">. </w:t>
      </w:r>
    </w:p>
    <w:p w14:paraId="6017B671" w14:textId="77777777" w:rsidR="00D617C0" w:rsidRPr="006F53B6" w:rsidRDefault="00D617C0" w:rsidP="006F53B6">
      <w:pPr>
        <w:spacing w:after="0"/>
        <w:jc w:val="both"/>
        <w:rPr>
          <w:rFonts w:asciiTheme="majorHAnsi" w:hAnsiTheme="majorHAnsi" w:cstheme="majorHAnsi"/>
        </w:rPr>
      </w:pPr>
      <w:r w:rsidRPr="006F53B6">
        <w:rPr>
          <w:rFonts w:asciiTheme="majorHAnsi" w:hAnsiTheme="majorHAnsi" w:cstheme="majorHAnsi"/>
        </w:rPr>
        <w:t xml:space="preserve">A GE Healthcare </w:t>
      </w:r>
      <w:proofErr w:type="spellStart"/>
      <w:r w:rsidRPr="006F53B6">
        <w:rPr>
          <w:rFonts w:asciiTheme="majorHAnsi" w:hAnsiTheme="majorHAnsi" w:cstheme="majorHAnsi"/>
        </w:rPr>
        <w:t>tisztában</w:t>
      </w:r>
      <w:proofErr w:type="spellEnd"/>
      <w:r w:rsidRPr="006F53B6">
        <w:rPr>
          <w:rFonts w:asciiTheme="majorHAnsi" w:hAnsiTheme="majorHAnsi" w:cstheme="majorHAnsi"/>
        </w:rPr>
        <w:t xml:space="preserve"> van </w:t>
      </w:r>
      <w:proofErr w:type="spellStart"/>
      <w:r w:rsidRPr="006F53B6">
        <w:rPr>
          <w:rFonts w:asciiTheme="majorHAnsi" w:hAnsiTheme="majorHAnsi" w:cstheme="majorHAnsi"/>
        </w:rPr>
        <w:t>jogi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kötelezettségeivel</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és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eleget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tesz</w:t>
      </w:r>
      <w:proofErr w:type="spellEnd"/>
      <w:r w:rsidRPr="006F53B6">
        <w:rPr>
          <w:rFonts w:asciiTheme="majorHAnsi" w:hAnsiTheme="majorHAnsi" w:cstheme="majorHAnsi"/>
        </w:rPr>
        <w:t xml:space="preserve"> a REACH </w:t>
      </w:r>
      <w:proofErr w:type="spellStart"/>
      <w:r w:rsidRPr="006F53B6">
        <w:rPr>
          <w:rFonts w:asciiTheme="majorHAnsi" w:hAnsiTheme="majorHAnsi" w:cstheme="majorHAnsi"/>
        </w:rPr>
        <w:t>szabályozás</w:t>
      </w:r>
      <w:proofErr w:type="spellEnd"/>
      <w:r w:rsidRPr="006F53B6">
        <w:rPr>
          <w:rFonts w:asciiTheme="majorHAnsi" w:hAnsiTheme="majorHAnsi" w:cstheme="majorHAnsi"/>
        </w:rPr>
        <w:t xml:space="preserve"> 33-as </w:t>
      </w:r>
      <w:proofErr w:type="spellStart"/>
      <w:r w:rsidRPr="006F53B6">
        <w:rPr>
          <w:rFonts w:asciiTheme="majorHAnsi" w:hAnsiTheme="majorHAnsi" w:cstheme="majorHAnsi"/>
        </w:rPr>
        <w:t>cikkelye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és</w:t>
      </w:r>
      <w:proofErr w:type="spellEnd"/>
      <w:r w:rsidRPr="006F53B6">
        <w:rPr>
          <w:rFonts w:asciiTheme="majorHAnsi" w:hAnsiTheme="majorHAnsi" w:cstheme="majorHAnsi"/>
        </w:rPr>
        <w:t xml:space="preserve"> 59-es </w:t>
      </w:r>
      <w:proofErr w:type="spellStart"/>
      <w:r w:rsidRPr="006F53B6">
        <w:rPr>
          <w:rFonts w:asciiTheme="majorHAnsi" w:hAnsiTheme="majorHAnsi" w:cstheme="majorHAnsi"/>
        </w:rPr>
        <w:t>cikkelye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különös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aggodalomra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okot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adó</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anyagok</w:t>
      </w:r>
      <w:proofErr w:type="spellEnd"/>
      <w:r w:rsidRPr="006F53B6">
        <w:rPr>
          <w:rFonts w:asciiTheme="majorHAnsi" w:hAnsiTheme="majorHAnsi" w:cstheme="majorHAnsi"/>
        </w:rPr>
        <w:t xml:space="preserve"> (SVHC) </w:t>
      </w:r>
      <w:proofErr w:type="spellStart"/>
      <w:r w:rsidRPr="006F53B6">
        <w:rPr>
          <w:rFonts w:asciiTheme="majorHAnsi" w:hAnsiTheme="majorHAnsi" w:cstheme="majorHAnsi"/>
        </w:rPr>
        <w:t>jelöltlistájának</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publikálása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által</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előírtaknak</w:t>
      </w:r>
      <w:proofErr w:type="spellEnd"/>
      <w:r w:rsidRPr="006F53B6">
        <w:rPr>
          <w:rFonts w:asciiTheme="majorHAnsi" w:hAnsiTheme="majorHAnsi" w:cstheme="majorHAnsi"/>
        </w:rPr>
        <w:t xml:space="preserve">. </w:t>
      </w:r>
    </w:p>
    <w:p w14:paraId="08BEF069" w14:textId="5580FA3E" w:rsidR="00D617C0" w:rsidRPr="006F53B6" w:rsidRDefault="00D617C0" w:rsidP="006F53B6">
      <w:pPr>
        <w:spacing w:after="0"/>
        <w:jc w:val="both"/>
        <w:rPr>
          <w:rFonts w:asciiTheme="majorHAnsi" w:hAnsiTheme="majorHAnsi" w:cstheme="majorHAnsi"/>
        </w:rPr>
      </w:pPr>
      <w:r w:rsidRPr="006F53B6">
        <w:rPr>
          <w:rFonts w:asciiTheme="majorHAnsi" w:hAnsiTheme="majorHAnsi" w:cstheme="majorHAnsi"/>
        </w:rPr>
        <w:t xml:space="preserve">A GE Healthcare </w:t>
      </w:r>
      <w:proofErr w:type="spellStart"/>
      <w:r w:rsidRPr="006F53B6">
        <w:rPr>
          <w:rFonts w:asciiTheme="majorHAnsi" w:hAnsiTheme="majorHAnsi" w:cstheme="majorHAnsi"/>
        </w:rPr>
        <w:t>árucikkek</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normál</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felhasználási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körülmények</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között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szándékosan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nem</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bocsátanak</w:t>
      </w:r>
      <w:proofErr w:type="spellEnd"/>
      <w:r w:rsidRPr="006F53B6">
        <w:rPr>
          <w:rFonts w:asciiTheme="majorHAnsi" w:hAnsiTheme="majorHAnsi" w:cstheme="majorHAnsi"/>
        </w:rPr>
        <w:t xml:space="preserve"> ki </w:t>
      </w:r>
      <w:proofErr w:type="spellStart"/>
      <w:r w:rsidRPr="006F53B6">
        <w:rPr>
          <w:rFonts w:asciiTheme="majorHAnsi" w:hAnsiTheme="majorHAnsi" w:cstheme="majorHAnsi"/>
        </w:rPr>
        <w:t>anyagot</w:t>
      </w:r>
      <w:proofErr w:type="spellEnd"/>
      <w:r w:rsidRPr="006F53B6">
        <w:rPr>
          <w:rFonts w:asciiTheme="majorHAnsi" w:hAnsiTheme="majorHAnsi" w:cstheme="majorHAnsi"/>
        </w:rPr>
        <w:t xml:space="preserve">. </w:t>
      </w:r>
    </w:p>
    <w:p w14:paraId="20199A14" w14:textId="1E8B2DE3" w:rsidR="001D2DAA" w:rsidRPr="006F53B6" w:rsidRDefault="00D852EE" w:rsidP="006F53B6">
      <w:pPr>
        <w:spacing w:after="0"/>
        <w:jc w:val="both"/>
        <w:rPr>
          <w:rFonts w:asciiTheme="majorHAnsi" w:hAnsiTheme="majorHAnsi" w:cstheme="majorHAnsi"/>
        </w:rPr>
      </w:pPr>
      <w:r w:rsidRPr="006F53B6">
        <w:rPr>
          <w:rFonts w:asciiTheme="majorHAnsi" w:hAnsiTheme="majorHAnsi" w:cstheme="majorHAnsi"/>
        </w:rPr>
        <w:t xml:space="preserve">Az </w:t>
      </w:r>
      <w:proofErr w:type="spellStart"/>
      <w:r w:rsidRPr="006F53B6">
        <w:rPr>
          <w:rFonts w:asciiTheme="majorHAnsi" w:hAnsiTheme="majorHAnsi" w:cstheme="majorHAnsi"/>
        </w:rPr>
        <w:t>eddigi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beszállítóink</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információi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alapján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ezek</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az</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anyagok</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olyan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koncentrációban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vannak</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jelen</w:t>
      </w:r>
      <w:proofErr w:type="spellEnd"/>
      <w:r w:rsidRPr="006F53B6">
        <w:rPr>
          <w:rFonts w:asciiTheme="majorHAnsi" w:hAnsiTheme="majorHAnsi" w:cstheme="majorHAnsi"/>
        </w:rPr>
        <w:t xml:space="preserve"> a </w:t>
      </w:r>
      <w:proofErr w:type="spellStart"/>
      <w:r w:rsidRPr="006F53B6">
        <w:rPr>
          <w:rFonts w:asciiTheme="majorHAnsi" w:hAnsiTheme="majorHAnsi" w:cstheme="majorHAnsi"/>
        </w:rPr>
        <w:t>következő</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termékekben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amely</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lehet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hogy</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nagyobb</w:t>
      </w:r>
      <w:proofErr w:type="spellEnd"/>
      <w:r w:rsidRPr="006F53B6">
        <w:rPr>
          <w:rFonts w:asciiTheme="majorHAnsi" w:hAnsiTheme="majorHAnsi" w:cstheme="majorHAnsi"/>
        </w:rPr>
        <w:t xml:space="preserve"> a 0,1% (w/w) </w:t>
      </w:r>
      <w:proofErr w:type="spellStart"/>
      <w:r w:rsidRPr="006F53B6">
        <w:rPr>
          <w:rFonts w:asciiTheme="majorHAnsi" w:hAnsiTheme="majorHAnsi" w:cstheme="majorHAnsi"/>
        </w:rPr>
        <w:t>tartománynál</w:t>
      </w:r>
      <w:proofErr w:type="spellEnd"/>
      <w:r w:rsidRPr="006F53B6">
        <w:rPr>
          <w:rFonts w:asciiTheme="majorHAnsi" w:hAnsiTheme="majorHAnsi" w:cstheme="majorHAnsi"/>
        </w:rPr>
        <w:t xml:space="preserve"> a </w:t>
      </w:r>
      <w:proofErr w:type="spellStart"/>
      <w:r w:rsidRPr="006F53B6">
        <w:rPr>
          <w:rFonts w:asciiTheme="majorHAnsi" w:hAnsiTheme="majorHAnsi" w:cstheme="majorHAnsi"/>
        </w:rPr>
        <w:t>termék</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szintjén</w:t>
      </w:r>
      <w:proofErr w:type="spellEnd"/>
      <w:r w:rsidRPr="006F53B6">
        <w:rPr>
          <w:rFonts w:asciiTheme="majorHAnsi" w:hAnsiTheme="majorHAnsi" w:cstheme="majorHAnsi"/>
        </w:rPr>
        <w:t>:</w:t>
      </w:r>
    </w:p>
    <w:p w14:paraId="1138B202" w14:textId="77777777" w:rsidR="00D617C0" w:rsidRPr="006706BE" w:rsidRDefault="00D617C0" w:rsidP="00D617C0">
      <w:pPr>
        <w:rPr>
          <w:rFonts w:asciiTheme="majorHAnsi" w:hAnsiTheme="majorHAnsi" w:cstheme="majorHAnsi"/>
          <w:color w:val="ED7D31" w:themeColor="accent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55D02820" w14:textId="77777777" w:rsidTr="00636C30">
        <w:trPr>
          <w:trHeight w:val="290"/>
        </w:trPr>
        <w:tc>
          <w:tcPr>
            <w:tcW w:w="1413" w:type="dxa"/>
            <w:noWrap/>
          </w:tcPr>
          <w:p w14:paraId="4711A7CE" w14:textId="77777777" w:rsidR="001D2DAA" w:rsidRPr="006F53B6" w:rsidRDefault="00700D02"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Termék</w:t>
            </w:r>
            <w:proofErr w:type="spellEnd"/>
            <w:r w:rsidRPr="006F53B6">
              <w:rPr>
                <w:rFonts w:asciiTheme="majorHAnsi" w:hAnsiTheme="majorHAnsi" w:cstheme="majorHAnsi"/>
                <w:b/>
                <w:bCs/>
              </w:rPr>
              <w:t xml:space="preserve"> neve</w:t>
            </w:r>
          </w:p>
        </w:tc>
        <w:tc>
          <w:tcPr>
            <w:tcW w:w="5953" w:type="dxa"/>
          </w:tcPr>
          <w:p w14:paraId="0B5F62B4" w14:textId="77777777" w:rsidR="001D2DAA" w:rsidRPr="006F53B6" w:rsidRDefault="00700D02"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Anyag</w:t>
            </w:r>
            <w:proofErr w:type="spellEnd"/>
            <w:r w:rsidRPr="006F53B6">
              <w:rPr>
                <w:rFonts w:asciiTheme="majorHAnsi" w:hAnsiTheme="majorHAnsi" w:cstheme="majorHAnsi"/>
                <w:b/>
                <w:bCs/>
              </w:rPr>
              <w:t xml:space="preserve"> neve</w:t>
            </w:r>
          </w:p>
        </w:tc>
        <w:tc>
          <w:tcPr>
            <w:tcW w:w="1696" w:type="dxa"/>
          </w:tcPr>
          <w:p w14:paraId="655A5733" w14:textId="77777777" w:rsidR="001D2DAA" w:rsidRPr="006F53B6" w:rsidRDefault="00B21300" w:rsidP="005A2C7D">
            <w:pPr>
              <w:spacing w:after="0" w:line="240" w:lineRule="auto"/>
              <w:rPr>
                <w:rFonts w:asciiTheme="majorHAnsi" w:hAnsiTheme="majorHAnsi" w:cstheme="majorHAnsi"/>
                <w:b/>
                <w:bCs/>
                <w:lang w:val="fr-FR"/>
              </w:rPr>
            </w:pPr>
            <w:r w:rsidRPr="006F53B6">
              <w:rPr>
                <w:rFonts w:asciiTheme="majorHAnsi" w:hAnsiTheme="majorHAnsi" w:cstheme="majorHAnsi"/>
                <w:b/>
                <w:bCs/>
                <w:lang w:val="fr-FR"/>
              </w:rPr>
              <w:t>CAS-</w:t>
            </w:r>
            <w:proofErr w:type="spellStart"/>
            <w:r w:rsidRPr="006F53B6">
              <w:rPr>
                <w:rFonts w:asciiTheme="majorHAnsi" w:hAnsiTheme="majorHAnsi" w:cstheme="majorHAnsi"/>
                <w:b/>
                <w:bCs/>
                <w:lang w:val="fr-FR"/>
              </w:rPr>
              <w:t>szám</w:t>
            </w:r>
            <w:proofErr w:type="spellEnd"/>
            <w:r w:rsidRPr="006F53B6">
              <w:rPr>
                <w:rFonts w:asciiTheme="majorHAnsi" w:hAnsiTheme="majorHAnsi" w:cstheme="majorHAnsi"/>
                <w:b/>
                <w:bCs/>
                <w:lang w:val="fr-FR"/>
              </w:rPr>
              <w:t>.</w:t>
            </w:r>
          </w:p>
        </w:tc>
      </w:tr>
      <w:tr w:rsidR="00A751C7" w:rsidRPr="00B93A55" w14:paraId="488B9DCE" w14:textId="77777777" w:rsidTr="003E41E7">
        <w:trPr>
          <w:trHeight w:val="290"/>
        </w:trPr>
        <w:tc>
          <w:tcPr>
            <w:tcW w:w="9062" w:type="dxa"/>
            <w:gridSpan w:val="3"/>
            <w:noWrap/>
          </w:tcPr>
          <w:p w14:paraId="7370C6E8"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26E6F084" w14:textId="77777777" w:rsidTr="003E41E7">
        <w:trPr>
          <w:trHeight w:val="290"/>
        </w:trPr>
        <w:tc>
          <w:tcPr>
            <w:tcW w:w="1413" w:type="dxa"/>
            <w:noWrap/>
            <w:hideMark/>
          </w:tcPr>
          <w:p w14:paraId="2F31B47D"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20E5F24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08C89F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A95084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26BF6F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2EF4EA1"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11A866F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0482912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0068DC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67B0A7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94DC0B7"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9F9D793" w14:textId="77777777" w:rsidTr="003E41E7">
        <w:trPr>
          <w:trHeight w:val="1448"/>
        </w:trPr>
        <w:tc>
          <w:tcPr>
            <w:tcW w:w="1413" w:type="dxa"/>
            <w:noWrap/>
            <w:hideMark/>
          </w:tcPr>
          <w:p w14:paraId="04A5CF19"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6806AF1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377403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0E6A54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B5EF92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588D961"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4E084F6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FDA20B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E25FC9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257630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D7FC6C9"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1DE47096" w14:textId="77777777" w:rsidTr="003E41E7">
        <w:trPr>
          <w:trHeight w:val="290"/>
        </w:trPr>
        <w:tc>
          <w:tcPr>
            <w:tcW w:w="1413" w:type="dxa"/>
            <w:noWrap/>
            <w:hideMark/>
          </w:tcPr>
          <w:p w14:paraId="10CFF1FB"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1482D9E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AEEB48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290AD0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34AEDD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C931418"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51769F2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EC585F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AB1684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2F9C52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30C675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5E688820" w14:textId="77777777" w:rsidTr="003E41E7">
        <w:trPr>
          <w:trHeight w:val="290"/>
        </w:trPr>
        <w:tc>
          <w:tcPr>
            <w:tcW w:w="9062" w:type="dxa"/>
            <w:gridSpan w:val="3"/>
            <w:noWrap/>
          </w:tcPr>
          <w:p w14:paraId="5FBFDC05"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5C474AB4"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6B3B2B6F"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57FE2C2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CF16EB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53187C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832853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52DFB2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5008F56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02BAB83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03A33B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3DE67C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640BAB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48CEDC0"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609C7E3"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304629E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0EC265F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2CEE03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57D7BB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A01245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8DB917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A68721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3EE0A3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E09BCD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69F33A4"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02E89085"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6D89AA0D"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554DA39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E8AB7A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AB4073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7858D6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98E08F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8FA210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ED1DFB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4801E9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2232A4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A18C27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048C3080"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2EFCF085"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38A3EC9F"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03B95320"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77B6B169"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36C11197"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27CC9EDB"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FF6F898"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70ABD288"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0AB89A3B"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67016F6C"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3D1C5F98"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12559981"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112D4FA8"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4A90E3B6"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8EEA98D"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76EB6F3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115BD7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A11374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1832EA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0A0D665"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554D967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1C932EC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576B06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55B5CE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D06F350"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EB11A27"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1B453F0F"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3338FF9F"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37C9EFA"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4EEB98D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F53368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6601C1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022243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8D398F6"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089FE67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958450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A5E194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6FCA7E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5C27DC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160C105"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37D9A26D"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6FB1FD41"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2CB3504D"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761C762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CECE03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662DDD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9E694D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DE809D8"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69CE56F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BEA539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7957AE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C97FE5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E04A84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3B82B0B"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2B5825E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034D779B" w14:textId="77777777" w:rsidR="00636C30" w:rsidRDefault="00636C30" w:rsidP="00636C30">
      <w:pPr>
        <w:rPr>
          <w:rFonts w:asciiTheme="majorHAnsi" w:hAnsiTheme="majorHAnsi" w:cstheme="majorHAnsi"/>
        </w:rPr>
      </w:pPr>
    </w:p>
    <w:p w14:paraId="4415C0FC" w14:textId="77777777" w:rsidR="001D2DAA" w:rsidRDefault="001D2DAA" w:rsidP="001D2DAA">
      <w:pPr>
        <w:rPr>
          <w:rFonts w:asciiTheme="majorHAnsi" w:hAnsiTheme="majorHAnsi" w:cstheme="majorHAnsi"/>
        </w:rPr>
      </w:pPr>
    </w:p>
    <w:p w14:paraId="119957EB" w14:textId="77777777" w:rsidR="001D2DAA" w:rsidRDefault="001D2DAA" w:rsidP="001D2DAA">
      <w:pPr>
        <w:rPr>
          <w:rFonts w:asciiTheme="majorHAnsi" w:hAnsiTheme="majorHAnsi" w:cstheme="majorHAnsi"/>
        </w:rPr>
      </w:pPr>
      <w:r>
        <w:rPr>
          <w:rFonts w:asciiTheme="majorHAnsi" w:hAnsiTheme="majorHAnsi" w:cstheme="majorHAnsi"/>
        </w:rPr>
        <w:br w:type="page"/>
      </w:r>
    </w:p>
    <w:p w14:paraId="0E5359B2"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2EA4B01F"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7F056EC7"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0E77D2B0"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25DA704C"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4812DC97"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16A5638D"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61E8D1C4"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3BC43939"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71D4248F"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728B6E84"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6A1BC5CC"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46800916"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38E97300"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6EED90F4"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2ADEC532"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3F3FE003"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068BBA89" w14:textId="77777777" w:rsidR="001D2DAA" w:rsidRPr="00977090" w:rsidRDefault="001D2DAA" w:rsidP="001D2DAA">
      <w:pPr>
        <w:pStyle w:val="Default"/>
        <w:rPr>
          <w:rFonts w:asciiTheme="majorHAnsi" w:hAnsiTheme="majorHAnsi" w:cstheme="majorHAnsi"/>
          <w:color w:val="auto"/>
          <w:sz w:val="22"/>
          <w:szCs w:val="22"/>
        </w:rPr>
      </w:pPr>
    </w:p>
    <w:p w14:paraId="397FC993" w14:textId="77777777" w:rsidR="006E7E5E" w:rsidRPr="006F53B6" w:rsidRDefault="006E7E5E" w:rsidP="006F53B6">
      <w:pPr>
        <w:spacing w:after="0"/>
        <w:jc w:val="both"/>
        <w:rPr>
          <w:rFonts w:asciiTheme="majorHAnsi" w:hAnsiTheme="majorHAnsi" w:cstheme="majorHAnsi"/>
        </w:rPr>
      </w:pPr>
      <w:r w:rsidRPr="006F53B6">
        <w:rPr>
          <w:rFonts w:asciiTheme="majorHAnsi" w:hAnsiTheme="majorHAnsi" w:cstheme="majorHAnsi"/>
        </w:rPr>
        <w:t xml:space="preserve">GE Healthcare </w:t>
      </w:r>
      <w:proofErr w:type="spellStart"/>
      <w:r w:rsidRPr="006F53B6">
        <w:rPr>
          <w:rFonts w:asciiTheme="majorHAnsi" w:hAnsiTheme="majorHAnsi" w:cstheme="majorHAnsi"/>
        </w:rPr>
        <w:t>taħdem</w:t>
      </w:r>
      <w:proofErr w:type="spellEnd"/>
      <w:r w:rsidRPr="006F53B6">
        <w:rPr>
          <w:rFonts w:asciiTheme="majorHAnsi" w:hAnsiTheme="majorHAnsi" w:cstheme="majorHAnsi"/>
        </w:rPr>
        <w:t xml:space="preserve"> mal-</w:t>
      </w:r>
      <w:proofErr w:type="spellStart"/>
      <w:r w:rsidRPr="006F53B6">
        <w:rPr>
          <w:rFonts w:asciiTheme="majorHAnsi" w:hAnsiTheme="majorHAnsi" w:cstheme="majorHAnsi"/>
        </w:rPr>
        <w:t>fornituri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tagħha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biex</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tiżgura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konformità</w:t>
      </w:r>
      <w:proofErr w:type="spellEnd"/>
      <w:r w:rsidRPr="006F53B6">
        <w:rPr>
          <w:rFonts w:asciiTheme="majorHAnsi" w:hAnsiTheme="majorHAnsi" w:cstheme="majorHAnsi"/>
        </w:rPr>
        <w:t xml:space="preserve"> mal-</w:t>
      </w:r>
      <w:proofErr w:type="spellStart"/>
      <w:r w:rsidRPr="006F53B6">
        <w:rPr>
          <w:rFonts w:asciiTheme="majorHAnsi" w:hAnsiTheme="majorHAnsi" w:cstheme="majorHAnsi"/>
        </w:rPr>
        <w:t>oġġetti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importati</w:t>
      </w:r>
      <w:proofErr w:type="spellEnd"/>
      <w:r w:rsidRPr="006F53B6">
        <w:rPr>
          <w:rFonts w:asciiTheme="majorHAnsi" w:hAnsiTheme="majorHAnsi" w:cstheme="majorHAnsi"/>
        </w:rPr>
        <w:t xml:space="preserve"> jew </w:t>
      </w:r>
      <w:proofErr w:type="spellStart"/>
      <w:r w:rsidRPr="006F53B6">
        <w:rPr>
          <w:rFonts w:asciiTheme="majorHAnsi" w:hAnsiTheme="majorHAnsi" w:cstheme="majorHAnsi"/>
        </w:rPr>
        <w:t>manifatturati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fl-Unjoni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Ewropea</w:t>
      </w:r>
      <w:proofErr w:type="spellEnd"/>
      <w:r w:rsidRPr="006F53B6">
        <w:rPr>
          <w:rFonts w:asciiTheme="majorHAnsi" w:hAnsiTheme="majorHAnsi" w:cstheme="majorHAnsi"/>
        </w:rPr>
        <w:t xml:space="preserve"> li huma </w:t>
      </w:r>
      <w:proofErr w:type="spellStart"/>
      <w:r w:rsidRPr="006F53B6">
        <w:rPr>
          <w:rFonts w:asciiTheme="majorHAnsi" w:hAnsiTheme="majorHAnsi" w:cstheme="majorHAnsi"/>
        </w:rPr>
        <w:t>soġġetti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għall-Artikolu</w:t>
      </w:r>
      <w:proofErr w:type="spellEnd"/>
      <w:r w:rsidRPr="006F53B6">
        <w:rPr>
          <w:rFonts w:asciiTheme="majorHAnsi" w:hAnsiTheme="majorHAnsi" w:cstheme="majorHAnsi"/>
        </w:rPr>
        <w:t> 33 tar-</w:t>
      </w:r>
      <w:proofErr w:type="spellStart"/>
      <w:r w:rsidRPr="006F53B6">
        <w:rPr>
          <w:rFonts w:asciiTheme="majorHAnsi" w:hAnsiTheme="majorHAnsi" w:cstheme="majorHAnsi"/>
        </w:rPr>
        <w:t>Regolament</w:t>
      </w:r>
      <w:proofErr w:type="spellEnd"/>
      <w:r w:rsidRPr="006F53B6">
        <w:rPr>
          <w:rFonts w:asciiTheme="majorHAnsi" w:hAnsiTheme="majorHAnsi" w:cstheme="majorHAnsi"/>
        </w:rPr>
        <w:t xml:space="preserve"> REACH (KE- </w:t>
      </w:r>
      <w:proofErr w:type="spellStart"/>
      <w:r w:rsidRPr="006F53B6">
        <w:rPr>
          <w:rFonts w:asciiTheme="majorHAnsi" w:hAnsiTheme="majorHAnsi" w:cstheme="majorHAnsi"/>
        </w:rPr>
        <w:t>Nru</w:t>
      </w:r>
      <w:proofErr w:type="spellEnd"/>
      <w:r w:rsidRPr="006F53B6">
        <w:rPr>
          <w:rFonts w:asciiTheme="majorHAnsi" w:hAnsiTheme="majorHAnsi" w:cstheme="majorHAnsi"/>
        </w:rPr>
        <w:t xml:space="preserve"> 1907/2006), u </w:t>
      </w:r>
      <w:proofErr w:type="spellStart"/>
      <w:r w:rsidRPr="006F53B6">
        <w:rPr>
          <w:rFonts w:asciiTheme="majorHAnsi" w:hAnsiTheme="majorHAnsi" w:cstheme="majorHAnsi"/>
        </w:rPr>
        <w:t>jintużaw</w:t>
      </w:r>
      <w:proofErr w:type="spellEnd"/>
      <w:r w:rsidRPr="006F53B6">
        <w:rPr>
          <w:rFonts w:asciiTheme="majorHAnsi" w:hAnsiTheme="majorHAnsi" w:cstheme="majorHAnsi"/>
        </w:rPr>
        <w:t xml:space="preserve"> fil-</w:t>
      </w:r>
      <w:proofErr w:type="spellStart"/>
      <w:r w:rsidRPr="006F53B6">
        <w:rPr>
          <w:rFonts w:asciiTheme="majorHAnsi" w:hAnsiTheme="majorHAnsi" w:cstheme="majorHAnsi"/>
        </w:rPr>
        <w:t>produzzjoni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tal-prodotti</w:t>
      </w:r>
      <w:proofErr w:type="spellEnd"/>
      <w:r w:rsidRPr="006F53B6">
        <w:rPr>
          <w:rFonts w:asciiTheme="majorHAnsi" w:hAnsiTheme="majorHAnsi" w:cstheme="majorHAnsi"/>
        </w:rPr>
        <w:t xml:space="preserve"> ta’ GE Healthcare. </w:t>
      </w:r>
    </w:p>
    <w:p w14:paraId="7664E1E4" w14:textId="77777777" w:rsidR="006E7E5E" w:rsidRPr="006F53B6" w:rsidRDefault="006E7E5E" w:rsidP="006F53B6">
      <w:pPr>
        <w:spacing w:after="0"/>
        <w:jc w:val="both"/>
        <w:rPr>
          <w:rFonts w:asciiTheme="majorHAnsi" w:hAnsiTheme="majorHAnsi" w:cstheme="majorHAnsi"/>
        </w:rPr>
      </w:pPr>
      <w:r w:rsidRPr="006F53B6">
        <w:rPr>
          <w:rFonts w:asciiTheme="majorHAnsi" w:hAnsiTheme="majorHAnsi" w:cstheme="majorHAnsi"/>
        </w:rPr>
        <w:t>Fir-</w:t>
      </w:r>
      <w:proofErr w:type="spellStart"/>
      <w:r w:rsidRPr="006F53B6">
        <w:rPr>
          <w:rFonts w:asciiTheme="majorHAnsi" w:hAnsiTheme="majorHAnsi" w:cstheme="majorHAnsi"/>
        </w:rPr>
        <w:t>rigward</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tal-applikazzjoni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tal-Artikolu</w:t>
      </w:r>
      <w:proofErr w:type="spellEnd"/>
      <w:r w:rsidRPr="006F53B6">
        <w:rPr>
          <w:rFonts w:asciiTheme="majorHAnsi" w:hAnsiTheme="majorHAnsi" w:cstheme="majorHAnsi"/>
        </w:rPr>
        <w:t> 33 tar-</w:t>
      </w:r>
      <w:proofErr w:type="spellStart"/>
      <w:r w:rsidRPr="006F53B6">
        <w:rPr>
          <w:rFonts w:asciiTheme="majorHAnsi" w:hAnsiTheme="majorHAnsi" w:cstheme="majorHAnsi"/>
        </w:rPr>
        <w:t>Regolament</w:t>
      </w:r>
      <w:proofErr w:type="spellEnd"/>
      <w:r w:rsidRPr="006F53B6">
        <w:rPr>
          <w:rFonts w:asciiTheme="majorHAnsi" w:hAnsiTheme="majorHAnsi" w:cstheme="majorHAnsi"/>
        </w:rPr>
        <w:t xml:space="preserve"> REACH u l-</w:t>
      </w:r>
      <w:proofErr w:type="spellStart"/>
      <w:r w:rsidRPr="006F53B6">
        <w:rPr>
          <w:rFonts w:asciiTheme="majorHAnsi" w:hAnsiTheme="majorHAnsi" w:cstheme="majorHAnsi"/>
        </w:rPr>
        <w:t>pubblikazzjoni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tal</w:t>
      </w:r>
      <w:proofErr w:type="spellEnd"/>
      <w:r w:rsidRPr="006F53B6">
        <w:rPr>
          <w:rFonts w:asciiTheme="majorHAnsi" w:hAnsiTheme="majorHAnsi" w:cstheme="majorHAnsi"/>
        </w:rPr>
        <w:t xml:space="preserve">-Lista ta’ </w:t>
      </w:r>
      <w:proofErr w:type="spellStart"/>
      <w:r w:rsidRPr="006F53B6">
        <w:rPr>
          <w:rFonts w:asciiTheme="majorHAnsi" w:hAnsiTheme="majorHAnsi" w:cstheme="majorHAnsi"/>
        </w:rPr>
        <w:t>Kandidati</w:t>
      </w:r>
      <w:proofErr w:type="spellEnd"/>
      <w:r w:rsidRPr="006F53B6">
        <w:rPr>
          <w:rFonts w:asciiTheme="majorHAnsi" w:hAnsiTheme="majorHAnsi" w:cstheme="majorHAnsi"/>
        </w:rPr>
        <w:t xml:space="preserve"> ta’ </w:t>
      </w:r>
      <w:proofErr w:type="spellStart"/>
      <w:r w:rsidRPr="006F53B6">
        <w:rPr>
          <w:rFonts w:asciiTheme="majorHAnsi" w:hAnsiTheme="majorHAnsi" w:cstheme="majorHAnsi"/>
        </w:rPr>
        <w:t>Sustanzi</w:t>
      </w:r>
      <w:proofErr w:type="spellEnd"/>
      <w:r w:rsidRPr="006F53B6">
        <w:rPr>
          <w:rFonts w:asciiTheme="majorHAnsi" w:hAnsiTheme="majorHAnsi" w:cstheme="majorHAnsi"/>
        </w:rPr>
        <w:t xml:space="preserve"> ta’ </w:t>
      </w:r>
      <w:proofErr w:type="spellStart"/>
      <w:r w:rsidRPr="006F53B6">
        <w:rPr>
          <w:rFonts w:asciiTheme="majorHAnsi" w:hAnsiTheme="majorHAnsi" w:cstheme="majorHAnsi"/>
        </w:rPr>
        <w:t>Tħassib</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Serju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Ħafna</w:t>
      </w:r>
      <w:proofErr w:type="spellEnd"/>
      <w:r w:rsidRPr="006F53B6">
        <w:rPr>
          <w:rFonts w:asciiTheme="majorHAnsi" w:hAnsiTheme="majorHAnsi" w:cstheme="majorHAnsi"/>
        </w:rPr>
        <w:t xml:space="preserve"> (SVHC) </w:t>
      </w:r>
      <w:proofErr w:type="spellStart"/>
      <w:r w:rsidRPr="006F53B6">
        <w:rPr>
          <w:rFonts w:asciiTheme="majorHAnsi" w:hAnsiTheme="majorHAnsi" w:cstheme="majorHAnsi"/>
        </w:rPr>
        <w:t>skont</w:t>
      </w:r>
      <w:proofErr w:type="spellEnd"/>
      <w:r w:rsidRPr="006F53B6">
        <w:rPr>
          <w:rFonts w:asciiTheme="majorHAnsi" w:hAnsiTheme="majorHAnsi" w:cstheme="majorHAnsi"/>
        </w:rPr>
        <w:t xml:space="preserve"> l-</w:t>
      </w:r>
      <w:proofErr w:type="spellStart"/>
      <w:r w:rsidRPr="006F53B6">
        <w:rPr>
          <w:rFonts w:asciiTheme="majorHAnsi" w:hAnsiTheme="majorHAnsi" w:cstheme="majorHAnsi"/>
        </w:rPr>
        <w:t>Artikolu</w:t>
      </w:r>
      <w:proofErr w:type="spellEnd"/>
      <w:r w:rsidRPr="006F53B6">
        <w:rPr>
          <w:rFonts w:asciiTheme="majorHAnsi" w:hAnsiTheme="majorHAnsi" w:cstheme="majorHAnsi"/>
        </w:rPr>
        <w:t> 59 tar-</w:t>
      </w:r>
      <w:proofErr w:type="spellStart"/>
      <w:r w:rsidRPr="006F53B6">
        <w:rPr>
          <w:rFonts w:asciiTheme="majorHAnsi" w:hAnsiTheme="majorHAnsi" w:cstheme="majorHAnsi"/>
        </w:rPr>
        <w:t>Regolament</w:t>
      </w:r>
      <w:proofErr w:type="spellEnd"/>
      <w:r w:rsidRPr="006F53B6">
        <w:rPr>
          <w:rFonts w:asciiTheme="majorHAnsi" w:hAnsiTheme="majorHAnsi" w:cstheme="majorHAnsi"/>
        </w:rPr>
        <w:t xml:space="preserve"> REACH, GE Healthcare </w:t>
      </w:r>
      <w:proofErr w:type="spellStart"/>
      <w:r w:rsidRPr="006F53B6">
        <w:rPr>
          <w:rFonts w:asciiTheme="majorHAnsi" w:hAnsiTheme="majorHAnsi" w:cstheme="majorHAnsi"/>
        </w:rPr>
        <w:t>hija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konxja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dwar</w:t>
      </w:r>
      <w:proofErr w:type="spellEnd"/>
      <w:r w:rsidRPr="006F53B6">
        <w:rPr>
          <w:rFonts w:asciiTheme="majorHAnsi" w:hAnsiTheme="majorHAnsi" w:cstheme="majorHAnsi"/>
        </w:rPr>
        <w:t xml:space="preserve"> l-</w:t>
      </w:r>
      <w:proofErr w:type="spellStart"/>
      <w:r w:rsidRPr="006F53B6">
        <w:rPr>
          <w:rFonts w:asciiTheme="majorHAnsi" w:hAnsiTheme="majorHAnsi" w:cstheme="majorHAnsi"/>
        </w:rPr>
        <w:t>obbligi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legali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tagħha</w:t>
      </w:r>
      <w:proofErr w:type="spellEnd"/>
      <w:r w:rsidRPr="006F53B6">
        <w:rPr>
          <w:rFonts w:asciiTheme="majorHAnsi" w:hAnsiTheme="majorHAnsi" w:cstheme="majorHAnsi"/>
        </w:rPr>
        <w:t xml:space="preserve"> u se </w:t>
      </w:r>
      <w:proofErr w:type="spellStart"/>
      <w:r w:rsidRPr="006F53B6">
        <w:rPr>
          <w:rFonts w:asciiTheme="majorHAnsi" w:hAnsiTheme="majorHAnsi" w:cstheme="majorHAnsi"/>
        </w:rPr>
        <w:t>tikkonforma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magħhom</w:t>
      </w:r>
      <w:proofErr w:type="spellEnd"/>
      <w:r w:rsidRPr="006F53B6">
        <w:rPr>
          <w:rFonts w:asciiTheme="majorHAnsi" w:hAnsiTheme="majorHAnsi" w:cstheme="majorHAnsi"/>
        </w:rPr>
        <w:t xml:space="preserve">. </w:t>
      </w:r>
    </w:p>
    <w:p w14:paraId="173AF1B3" w14:textId="4DE381D1" w:rsidR="006E7E5E" w:rsidRPr="006F53B6" w:rsidRDefault="006E7E5E" w:rsidP="006F53B6">
      <w:pPr>
        <w:spacing w:after="0"/>
        <w:jc w:val="both"/>
        <w:rPr>
          <w:rFonts w:asciiTheme="majorHAnsi" w:hAnsiTheme="majorHAnsi" w:cstheme="majorHAnsi"/>
        </w:rPr>
      </w:pPr>
      <w:r w:rsidRPr="006F53B6">
        <w:rPr>
          <w:rFonts w:asciiTheme="majorHAnsi" w:hAnsiTheme="majorHAnsi" w:cstheme="majorHAnsi"/>
        </w:rPr>
        <w:t>L-</w:t>
      </w:r>
      <w:proofErr w:type="spellStart"/>
      <w:r w:rsidRPr="006F53B6">
        <w:rPr>
          <w:rFonts w:asciiTheme="majorHAnsi" w:hAnsiTheme="majorHAnsi" w:cstheme="majorHAnsi"/>
        </w:rPr>
        <w:t>oġġetti</w:t>
      </w:r>
      <w:proofErr w:type="spellEnd"/>
      <w:r w:rsidRPr="006F53B6">
        <w:rPr>
          <w:rFonts w:asciiTheme="majorHAnsi" w:hAnsiTheme="majorHAnsi" w:cstheme="majorHAnsi"/>
        </w:rPr>
        <w:t xml:space="preserve"> ta’ GE Healthcare ma “</w:t>
      </w:r>
      <w:proofErr w:type="spellStart"/>
      <w:r w:rsidRPr="006F53B6">
        <w:rPr>
          <w:rFonts w:asciiTheme="majorHAnsi" w:hAnsiTheme="majorHAnsi" w:cstheme="majorHAnsi"/>
        </w:rPr>
        <w:t>jirrilaxxawx</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intenzjonalment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sustanzi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f’kundizzjonijiet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normali</w:t>
      </w:r>
      <w:proofErr w:type="spellEnd"/>
      <w:r w:rsidRPr="006F53B6">
        <w:rPr>
          <w:rFonts w:asciiTheme="majorHAnsi" w:hAnsiTheme="majorHAnsi" w:cstheme="majorHAnsi"/>
        </w:rPr>
        <w:t xml:space="preserve"> ta’ </w:t>
      </w:r>
      <w:proofErr w:type="spellStart"/>
      <w:r w:rsidRPr="006F53B6">
        <w:rPr>
          <w:rFonts w:asciiTheme="majorHAnsi" w:hAnsiTheme="majorHAnsi" w:cstheme="majorHAnsi"/>
        </w:rPr>
        <w:t>użu</w:t>
      </w:r>
      <w:proofErr w:type="spellEnd"/>
      <w:r w:rsidRPr="006F53B6">
        <w:rPr>
          <w:rFonts w:asciiTheme="majorHAnsi" w:hAnsiTheme="majorHAnsi" w:cstheme="majorHAnsi"/>
        </w:rPr>
        <w:t xml:space="preserve">. </w:t>
      </w:r>
    </w:p>
    <w:p w14:paraId="4B571BE5" w14:textId="2AAC7247" w:rsidR="001D2DAA" w:rsidRPr="006F53B6" w:rsidRDefault="00D852EE" w:rsidP="006F53B6">
      <w:pPr>
        <w:spacing w:after="0"/>
        <w:jc w:val="both"/>
        <w:rPr>
          <w:rFonts w:asciiTheme="majorHAnsi" w:hAnsiTheme="majorHAnsi" w:cstheme="majorHAnsi"/>
        </w:rPr>
      </w:pPr>
      <w:proofErr w:type="spellStart"/>
      <w:r w:rsidRPr="006F53B6">
        <w:rPr>
          <w:rFonts w:asciiTheme="majorHAnsi" w:hAnsiTheme="majorHAnsi" w:cstheme="majorHAnsi"/>
        </w:rPr>
        <w:t>Abbażi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tal-informazzjoni</w:t>
      </w:r>
      <w:proofErr w:type="spellEnd"/>
      <w:r w:rsidRPr="006F53B6">
        <w:rPr>
          <w:rFonts w:asciiTheme="majorHAnsi" w:hAnsiTheme="majorHAnsi" w:cstheme="majorHAnsi"/>
        </w:rPr>
        <w:t xml:space="preserve"> mill-</w:t>
      </w:r>
      <w:proofErr w:type="spellStart"/>
      <w:r w:rsidRPr="006F53B6">
        <w:rPr>
          <w:rFonts w:asciiTheme="majorHAnsi" w:hAnsiTheme="majorHAnsi" w:cstheme="majorHAnsi"/>
        </w:rPr>
        <w:t>fornituri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tagħna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issa</w:t>
      </w:r>
      <w:proofErr w:type="spellEnd"/>
      <w:r w:rsidRPr="006F53B6">
        <w:rPr>
          <w:rFonts w:asciiTheme="majorHAnsi" w:hAnsiTheme="majorHAnsi" w:cstheme="majorHAnsi"/>
        </w:rPr>
        <w:t>, dawn is-</w:t>
      </w:r>
      <w:proofErr w:type="spellStart"/>
      <w:r w:rsidRPr="006F53B6">
        <w:rPr>
          <w:rFonts w:asciiTheme="majorHAnsi" w:hAnsiTheme="majorHAnsi" w:cstheme="majorHAnsi"/>
        </w:rPr>
        <w:t>sustanzi</w:t>
      </w:r>
      <w:proofErr w:type="spellEnd"/>
      <w:r w:rsidRPr="006F53B6">
        <w:rPr>
          <w:rFonts w:asciiTheme="majorHAnsi" w:hAnsiTheme="majorHAnsi" w:cstheme="majorHAnsi"/>
        </w:rPr>
        <w:t xml:space="preserve"> huma </w:t>
      </w:r>
      <w:proofErr w:type="spellStart"/>
      <w:r w:rsidRPr="006F53B6">
        <w:rPr>
          <w:rFonts w:asciiTheme="majorHAnsi" w:hAnsiTheme="majorHAnsi" w:cstheme="majorHAnsi"/>
        </w:rPr>
        <w:t>preżenti</w:t>
      </w:r>
      <w:proofErr w:type="spellEnd"/>
      <w:r w:rsidRPr="006F53B6">
        <w:rPr>
          <w:rFonts w:asciiTheme="majorHAnsi" w:hAnsiTheme="majorHAnsi" w:cstheme="majorHAnsi"/>
        </w:rPr>
        <w:t xml:space="preserve"> fil-</w:t>
      </w:r>
      <w:proofErr w:type="spellStart"/>
      <w:r w:rsidRPr="006F53B6">
        <w:rPr>
          <w:rFonts w:asciiTheme="majorHAnsi" w:hAnsiTheme="majorHAnsi" w:cstheme="majorHAnsi"/>
        </w:rPr>
        <w:t>prodotti</w:t>
      </w:r>
      <w:proofErr w:type="spellEnd"/>
      <w:r w:rsidRPr="006F53B6">
        <w:rPr>
          <w:rFonts w:asciiTheme="majorHAnsi" w:hAnsiTheme="majorHAnsi" w:cstheme="majorHAnsi"/>
        </w:rPr>
        <w:t xml:space="preserve"> li </w:t>
      </w:r>
      <w:proofErr w:type="spellStart"/>
      <w:r w:rsidRPr="006F53B6">
        <w:rPr>
          <w:rFonts w:asciiTheme="majorHAnsi" w:hAnsiTheme="majorHAnsi" w:cstheme="majorHAnsi"/>
        </w:rPr>
        <w:t>ġejjin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f’konċentrazzjoni</w:t>
      </w:r>
      <w:proofErr w:type="spellEnd"/>
      <w:r w:rsidRPr="006F53B6">
        <w:rPr>
          <w:rFonts w:asciiTheme="majorHAnsi" w:hAnsiTheme="majorHAnsi" w:cstheme="majorHAnsi"/>
        </w:rPr>
        <w:t xml:space="preserve"> li </w:t>
      </w:r>
      <w:proofErr w:type="spellStart"/>
      <w:r w:rsidRPr="006F53B6">
        <w:rPr>
          <w:rFonts w:asciiTheme="majorHAnsi" w:hAnsiTheme="majorHAnsi" w:cstheme="majorHAnsi"/>
        </w:rPr>
        <w:t>tista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tkun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akbar</w:t>
      </w:r>
      <w:proofErr w:type="spellEnd"/>
      <w:r w:rsidRPr="006F53B6">
        <w:rPr>
          <w:rFonts w:asciiTheme="majorHAnsi" w:hAnsiTheme="majorHAnsi" w:cstheme="majorHAnsi"/>
        </w:rPr>
        <w:t xml:space="preserve"> mil-</w:t>
      </w:r>
      <w:proofErr w:type="spellStart"/>
      <w:r w:rsidRPr="006F53B6">
        <w:rPr>
          <w:rFonts w:asciiTheme="majorHAnsi" w:hAnsiTheme="majorHAnsi" w:cstheme="majorHAnsi"/>
        </w:rPr>
        <w:t>limitu</w:t>
      </w:r>
      <w:proofErr w:type="spellEnd"/>
      <w:r w:rsidRPr="006F53B6">
        <w:rPr>
          <w:rFonts w:asciiTheme="majorHAnsi" w:hAnsiTheme="majorHAnsi" w:cstheme="majorHAnsi"/>
        </w:rPr>
        <w:t xml:space="preserve"> ta’ 0.1 % </w:t>
      </w:r>
      <w:proofErr w:type="spellStart"/>
      <w:r w:rsidRPr="006F53B6">
        <w:rPr>
          <w:rFonts w:asciiTheme="majorHAnsi" w:hAnsiTheme="majorHAnsi" w:cstheme="majorHAnsi"/>
        </w:rPr>
        <w:t>piż</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b’piż</w:t>
      </w:r>
      <w:proofErr w:type="spellEnd"/>
      <w:r w:rsidRPr="006F53B6">
        <w:rPr>
          <w:rFonts w:asciiTheme="majorHAnsi" w:hAnsiTheme="majorHAnsi" w:cstheme="majorHAnsi"/>
        </w:rPr>
        <w:t xml:space="preserve"> fil-</w:t>
      </w:r>
      <w:proofErr w:type="spellStart"/>
      <w:r w:rsidRPr="006F53B6">
        <w:rPr>
          <w:rFonts w:asciiTheme="majorHAnsi" w:hAnsiTheme="majorHAnsi" w:cstheme="majorHAnsi"/>
        </w:rPr>
        <w:t>livell</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tal-oġġett</w:t>
      </w:r>
      <w:proofErr w:type="spellEnd"/>
      <w:r w:rsidRPr="006F53B6">
        <w:rPr>
          <w:rFonts w:asciiTheme="majorHAnsi" w:hAnsiTheme="majorHAnsi" w:cstheme="majorHAnsi"/>
        </w:rPr>
        <w:t>:</w:t>
      </w:r>
    </w:p>
    <w:p w14:paraId="67D5FF0C" w14:textId="77777777" w:rsidR="006E7E5E" w:rsidRPr="006706BE" w:rsidRDefault="006E7E5E" w:rsidP="006E7E5E">
      <w:pPr>
        <w:rPr>
          <w:rFonts w:asciiTheme="majorHAnsi" w:hAnsiTheme="majorHAnsi" w:cstheme="majorHAnsi"/>
          <w:color w:val="ED7D31" w:themeColor="accent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3EB704F4" w14:textId="77777777" w:rsidTr="00636C30">
        <w:trPr>
          <w:trHeight w:val="290"/>
        </w:trPr>
        <w:tc>
          <w:tcPr>
            <w:tcW w:w="1413" w:type="dxa"/>
            <w:noWrap/>
          </w:tcPr>
          <w:p w14:paraId="17A66DEB" w14:textId="77777777" w:rsidR="001D2DAA" w:rsidRPr="006F53B6" w:rsidRDefault="006E7E5E"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Isem</w:t>
            </w:r>
            <w:proofErr w:type="spellEnd"/>
            <w:r w:rsidRPr="006F53B6">
              <w:rPr>
                <w:rFonts w:asciiTheme="majorHAnsi" w:hAnsiTheme="majorHAnsi" w:cstheme="majorHAnsi"/>
                <w:b/>
                <w:bCs/>
              </w:rPr>
              <w:t xml:space="preserve"> il-</w:t>
            </w:r>
            <w:proofErr w:type="spellStart"/>
            <w:r w:rsidRPr="006F53B6">
              <w:rPr>
                <w:rFonts w:asciiTheme="majorHAnsi" w:hAnsiTheme="majorHAnsi" w:cstheme="majorHAnsi"/>
                <w:b/>
                <w:bCs/>
              </w:rPr>
              <w:t>prodott</w:t>
            </w:r>
            <w:proofErr w:type="spellEnd"/>
          </w:p>
        </w:tc>
        <w:tc>
          <w:tcPr>
            <w:tcW w:w="5953" w:type="dxa"/>
          </w:tcPr>
          <w:p w14:paraId="66D37BD4" w14:textId="77777777" w:rsidR="001D2DAA" w:rsidRPr="006F53B6" w:rsidRDefault="006E7E5E"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Isem</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tas-sustanza</w:t>
            </w:r>
            <w:proofErr w:type="spellEnd"/>
          </w:p>
        </w:tc>
        <w:tc>
          <w:tcPr>
            <w:tcW w:w="1696" w:type="dxa"/>
          </w:tcPr>
          <w:p w14:paraId="5A425B57" w14:textId="77777777" w:rsidR="001D2DAA" w:rsidRPr="006F53B6" w:rsidRDefault="006E7E5E" w:rsidP="005A2C7D">
            <w:pPr>
              <w:spacing w:after="0" w:line="240" w:lineRule="auto"/>
              <w:rPr>
                <w:rFonts w:asciiTheme="majorHAnsi" w:hAnsiTheme="majorHAnsi" w:cstheme="majorHAnsi"/>
                <w:b/>
                <w:bCs/>
                <w:lang w:val="fr-FR"/>
              </w:rPr>
            </w:pPr>
            <w:proofErr w:type="spellStart"/>
            <w:r w:rsidRPr="006F53B6">
              <w:rPr>
                <w:rFonts w:asciiTheme="majorHAnsi" w:hAnsiTheme="majorHAnsi" w:cstheme="majorHAnsi"/>
                <w:b/>
                <w:bCs/>
                <w:lang w:val="fr-FR"/>
              </w:rPr>
              <w:t>Nru</w:t>
            </w:r>
            <w:proofErr w:type="spellEnd"/>
            <w:r w:rsidRPr="006F53B6">
              <w:rPr>
                <w:rFonts w:asciiTheme="majorHAnsi" w:hAnsiTheme="majorHAnsi" w:cstheme="majorHAnsi"/>
                <w:b/>
                <w:bCs/>
                <w:lang w:val="fr-FR"/>
              </w:rPr>
              <w:t xml:space="preserve"> CAS</w:t>
            </w:r>
          </w:p>
        </w:tc>
      </w:tr>
      <w:tr w:rsidR="00A751C7" w:rsidRPr="00B93A55" w14:paraId="03DCA439" w14:textId="77777777" w:rsidTr="003E41E7">
        <w:trPr>
          <w:trHeight w:val="290"/>
        </w:trPr>
        <w:tc>
          <w:tcPr>
            <w:tcW w:w="9062" w:type="dxa"/>
            <w:gridSpan w:val="3"/>
            <w:noWrap/>
          </w:tcPr>
          <w:p w14:paraId="3C7F89F7"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780FBEEC" w14:textId="77777777" w:rsidTr="003E41E7">
        <w:trPr>
          <w:trHeight w:val="290"/>
        </w:trPr>
        <w:tc>
          <w:tcPr>
            <w:tcW w:w="1413" w:type="dxa"/>
            <w:noWrap/>
            <w:hideMark/>
          </w:tcPr>
          <w:p w14:paraId="4294C9DE"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6111151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7635CE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9F0480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2076E1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2180BE7"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5F8D6DB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FB5F1C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209F86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38C34D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4D4856E"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15B1390D" w14:textId="77777777" w:rsidTr="003E41E7">
        <w:trPr>
          <w:trHeight w:val="1448"/>
        </w:trPr>
        <w:tc>
          <w:tcPr>
            <w:tcW w:w="1413" w:type="dxa"/>
            <w:noWrap/>
            <w:hideMark/>
          </w:tcPr>
          <w:p w14:paraId="0F1C6E81"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50C80DA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5BF86E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FA6DBE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F4E14A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17B93FF"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2CE9A08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9C08E3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B1BF99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B43F9F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9DA45B7"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1E9A887A" w14:textId="77777777" w:rsidTr="003E41E7">
        <w:trPr>
          <w:trHeight w:val="290"/>
        </w:trPr>
        <w:tc>
          <w:tcPr>
            <w:tcW w:w="1413" w:type="dxa"/>
            <w:noWrap/>
            <w:hideMark/>
          </w:tcPr>
          <w:p w14:paraId="4AE66AB5"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04988A6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B036E4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DAAB59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9046DC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9F4D0CC"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1FFB09F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CB9F2C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4A31F3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0F1954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EF8171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27F1F22D" w14:textId="77777777" w:rsidTr="003E41E7">
        <w:trPr>
          <w:trHeight w:val="290"/>
        </w:trPr>
        <w:tc>
          <w:tcPr>
            <w:tcW w:w="9062" w:type="dxa"/>
            <w:gridSpan w:val="3"/>
            <w:noWrap/>
          </w:tcPr>
          <w:p w14:paraId="29727B53"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1D847FBB"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7E465B8"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601EEE4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DA7061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BA2397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98437A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0586AF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B0D843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096FC9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B64097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7CAE17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D382230"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3924340"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F24D8CF"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439E800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2A245B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65947A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A1EF17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023331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16C85D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B56C28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A71647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B284EF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46A7834"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19E2864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D2AB85A"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4AEF472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88AC4E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EB0517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D323EF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BA733F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5880A20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9D5D68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B93613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0055DF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8F27E4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39441B4C"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22469655"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0901FF5E"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2CAE6D60"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3AA6C681"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2B1A1968"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234D7CC1"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EB7C703"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1B5AA232"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7F0D2569"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366137C3"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4AA50F2D"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6E76B40D"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04D8064F"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2BE5256B"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AE64F22"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5076A14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216A13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932EB0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16F731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B9F0363"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6E51B21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F2B423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99790F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6A0556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FF920D0"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36CC7F1"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2F3F5679"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FF70DF2"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10D93BF6"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78DE07C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8DD856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554BDE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F05306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51E2308"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70328E1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5E8224A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1C5174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11AB4E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89A6E3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782F03A"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1546960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230FB5EE"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3DED09C"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25F5C66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0C8BC5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FEF84B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2C44D0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FCB135A"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5CB2446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DF7F69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CBCF04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759B3D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75460C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B114B78"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218915A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1D50BAAB" w14:textId="77777777" w:rsidR="00636C30" w:rsidRDefault="00636C30" w:rsidP="00636C30">
      <w:pPr>
        <w:rPr>
          <w:rFonts w:asciiTheme="majorHAnsi" w:hAnsiTheme="majorHAnsi" w:cstheme="majorHAnsi"/>
        </w:rPr>
      </w:pPr>
    </w:p>
    <w:p w14:paraId="393757BB" w14:textId="77777777" w:rsidR="001D2DAA" w:rsidRDefault="001D2DAA" w:rsidP="001D2DAA">
      <w:pPr>
        <w:rPr>
          <w:rFonts w:asciiTheme="majorHAnsi" w:hAnsiTheme="majorHAnsi" w:cstheme="majorHAnsi"/>
        </w:rPr>
      </w:pPr>
    </w:p>
    <w:p w14:paraId="1B2D6126" w14:textId="77777777" w:rsidR="001D2DAA" w:rsidRDefault="001D2DAA" w:rsidP="001D2DAA">
      <w:pPr>
        <w:rPr>
          <w:rFonts w:asciiTheme="majorHAnsi" w:hAnsiTheme="majorHAnsi" w:cstheme="majorHAnsi"/>
        </w:rPr>
      </w:pPr>
      <w:r>
        <w:rPr>
          <w:rFonts w:asciiTheme="majorHAnsi" w:hAnsiTheme="majorHAnsi" w:cstheme="majorHAnsi"/>
        </w:rPr>
        <w:br w:type="page"/>
      </w:r>
    </w:p>
    <w:p w14:paraId="0C82F84B"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177BFB3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0A620A29"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6E2C86CE"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3D3C8AB7"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56A26E50"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306ED91E"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278C1683"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4448656C"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2867C52A"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3003A96F"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1787E49D"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535A13FB"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41BD5FD2"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1911DAC0"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5D01BAF6"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266E4696"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52FF5DDE" w14:textId="77777777" w:rsidR="001D2DAA" w:rsidRPr="00977090" w:rsidRDefault="001D2DAA" w:rsidP="001D2DAA">
      <w:pPr>
        <w:pStyle w:val="Default"/>
        <w:rPr>
          <w:rFonts w:asciiTheme="majorHAnsi" w:hAnsiTheme="majorHAnsi" w:cstheme="majorHAnsi"/>
          <w:color w:val="auto"/>
          <w:sz w:val="22"/>
          <w:szCs w:val="22"/>
        </w:rPr>
      </w:pPr>
    </w:p>
    <w:p w14:paraId="29C0F4D4" w14:textId="77777777" w:rsidR="001261DB" w:rsidRPr="006F53B6" w:rsidRDefault="001261DB" w:rsidP="006F53B6">
      <w:pPr>
        <w:spacing w:after="0"/>
        <w:jc w:val="both"/>
        <w:rPr>
          <w:rFonts w:asciiTheme="majorHAnsi" w:hAnsiTheme="majorHAnsi" w:cstheme="majorHAnsi"/>
          <w:lang w:val="nl-NL"/>
        </w:rPr>
      </w:pPr>
      <w:r w:rsidRPr="006F53B6">
        <w:rPr>
          <w:rFonts w:asciiTheme="majorHAnsi" w:hAnsiTheme="majorHAnsi" w:cstheme="majorHAnsi"/>
          <w:lang w:val="nl-NL"/>
        </w:rPr>
        <w:t xml:space="preserve">GE Healthcare werkt samen met zijn leveranciers om ervoor te zorgen dat artikelen die zijn geïmporteerd of geproduceerd binnen de Europese Unie voldoen aan de REACH-verordening (EG-nr. 1907/2006) artikel 33 en worden gebruikt bij de productie van GE Healthcare-producten. </w:t>
      </w:r>
    </w:p>
    <w:p w14:paraId="6A7D210F" w14:textId="77777777" w:rsidR="001261DB" w:rsidRPr="006F53B6" w:rsidRDefault="001261DB" w:rsidP="006F53B6">
      <w:pPr>
        <w:spacing w:after="0"/>
        <w:jc w:val="both"/>
        <w:rPr>
          <w:rFonts w:asciiTheme="majorHAnsi" w:hAnsiTheme="majorHAnsi" w:cstheme="majorHAnsi"/>
          <w:lang w:val="nl-NL"/>
        </w:rPr>
      </w:pPr>
      <w:r w:rsidRPr="006F53B6">
        <w:rPr>
          <w:rFonts w:asciiTheme="majorHAnsi" w:hAnsiTheme="majorHAnsi" w:cstheme="majorHAnsi"/>
          <w:lang w:val="nl-NL"/>
        </w:rPr>
        <w:t xml:space="preserve">GE Healthcare is op de hoogte van zijn wettelijke verplichtingen omtrent de toepassing van artikel 33 van de REACH-verordening en de publicatie van de Kandidaatslijst van zeer zorgwekkende stoffen volgens artikel 59 van de REACH-verordening, en zal deze naleven. </w:t>
      </w:r>
    </w:p>
    <w:p w14:paraId="5D6A378E" w14:textId="2066B625" w:rsidR="001261DB" w:rsidRPr="006F53B6" w:rsidRDefault="001261DB" w:rsidP="006F53B6">
      <w:pPr>
        <w:spacing w:after="0"/>
        <w:jc w:val="both"/>
        <w:rPr>
          <w:rFonts w:asciiTheme="majorHAnsi" w:hAnsiTheme="majorHAnsi" w:cstheme="majorHAnsi"/>
          <w:lang w:val="nl-NL"/>
        </w:rPr>
      </w:pPr>
      <w:r w:rsidRPr="006F53B6">
        <w:rPr>
          <w:rFonts w:asciiTheme="majorHAnsi" w:hAnsiTheme="majorHAnsi" w:cstheme="majorHAnsi"/>
          <w:lang w:val="nl-NL"/>
        </w:rPr>
        <w:t xml:space="preserve">Onder normale omstandigheden geven de artikelen van GE Healthcare niet 'opzettelijk' stoffen af. </w:t>
      </w:r>
    </w:p>
    <w:p w14:paraId="4EE22D22" w14:textId="264112D0" w:rsidR="001D2DAA" w:rsidRPr="006F53B6" w:rsidRDefault="00D852EE" w:rsidP="006F53B6">
      <w:pPr>
        <w:spacing w:after="0"/>
        <w:jc w:val="both"/>
        <w:rPr>
          <w:rFonts w:asciiTheme="majorHAnsi" w:hAnsiTheme="majorHAnsi" w:cstheme="majorHAnsi"/>
          <w:lang w:val="nl-NL"/>
        </w:rPr>
      </w:pPr>
      <w:r w:rsidRPr="006F53B6">
        <w:rPr>
          <w:rFonts w:asciiTheme="majorHAnsi" w:hAnsiTheme="majorHAnsi" w:cstheme="majorHAnsi"/>
          <w:lang w:val="nl-NL"/>
        </w:rPr>
        <w:t>Op basis van de huidige informatie van onze leveranciers zijn deze stoffen aanwezig in de volgende producten met een concentratie die mogelijk hoger is dan de drempel van 0,1% gewicht per gewicht op artikelniveau:</w:t>
      </w:r>
    </w:p>
    <w:p w14:paraId="55EA566E" w14:textId="77777777" w:rsidR="001261DB" w:rsidRPr="00DE06BF" w:rsidRDefault="001261DB" w:rsidP="001261DB">
      <w:pPr>
        <w:rPr>
          <w:rFonts w:asciiTheme="majorHAnsi" w:hAnsiTheme="majorHAnsi" w:cstheme="majorHAnsi"/>
          <w:color w:val="ED7D31" w:themeColor="accent2"/>
          <w:lang w:val="nl-NL"/>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01BA9A34" w14:textId="77777777" w:rsidTr="00636C30">
        <w:trPr>
          <w:trHeight w:val="290"/>
        </w:trPr>
        <w:tc>
          <w:tcPr>
            <w:tcW w:w="1413" w:type="dxa"/>
            <w:noWrap/>
          </w:tcPr>
          <w:p w14:paraId="1A029514" w14:textId="77777777" w:rsidR="001D2DAA" w:rsidRPr="006F53B6" w:rsidRDefault="001261DB"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Productnaam</w:t>
            </w:r>
            <w:proofErr w:type="spellEnd"/>
          </w:p>
        </w:tc>
        <w:tc>
          <w:tcPr>
            <w:tcW w:w="5953" w:type="dxa"/>
          </w:tcPr>
          <w:p w14:paraId="701DCEF1" w14:textId="77777777" w:rsidR="001D2DAA" w:rsidRPr="006F53B6" w:rsidRDefault="00F20EF7" w:rsidP="005A2C7D">
            <w:pPr>
              <w:spacing w:after="0" w:line="240" w:lineRule="auto"/>
              <w:rPr>
                <w:rFonts w:asciiTheme="majorHAnsi" w:hAnsiTheme="majorHAnsi" w:cstheme="majorHAnsi"/>
                <w:b/>
                <w:bCs/>
              </w:rPr>
            </w:pPr>
            <w:r w:rsidRPr="006F53B6">
              <w:rPr>
                <w:rFonts w:asciiTheme="majorHAnsi" w:hAnsiTheme="majorHAnsi" w:cstheme="majorHAnsi"/>
                <w:b/>
                <w:bCs/>
              </w:rPr>
              <w:t xml:space="preserve">Naan van de </w:t>
            </w:r>
            <w:proofErr w:type="spellStart"/>
            <w:r w:rsidRPr="006F53B6">
              <w:rPr>
                <w:rFonts w:asciiTheme="majorHAnsi" w:hAnsiTheme="majorHAnsi" w:cstheme="majorHAnsi"/>
                <w:b/>
                <w:bCs/>
              </w:rPr>
              <w:t>stof</w:t>
            </w:r>
            <w:proofErr w:type="spellEnd"/>
          </w:p>
        </w:tc>
        <w:tc>
          <w:tcPr>
            <w:tcW w:w="1696" w:type="dxa"/>
          </w:tcPr>
          <w:p w14:paraId="4298F9F9" w14:textId="77777777" w:rsidR="001D2DAA" w:rsidRPr="006F53B6" w:rsidRDefault="00F20EF7" w:rsidP="005A2C7D">
            <w:pPr>
              <w:spacing w:after="0" w:line="240" w:lineRule="auto"/>
              <w:rPr>
                <w:rFonts w:asciiTheme="majorHAnsi" w:hAnsiTheme="majorHAnsi" w:cstheme="majorHAnsi"/>
                <w:b/>
                <w:bCs/>
                <w:lang w:val="fr-FR"/>
              </w:rPr>
            </w:pPr>
            <w:r w:rsidRPr="006F53B6">
              <w:rPr>
                <w:rFonts w:asciiTheme="majorHAnsi" w:hAnsiTheme="majorHAnsi" w:cstheme="majorHAnsi"/>
                <w:b/>
                <w:bCs/>
                <w:lang w:val="fr-FR"/>
              </w:rPr>
              <w:t>CAS-nr.</w:t>
            </w:r>
          </w:p>
        </w:tc>
      </w:tr>
      <w:tr w:rsidR="00A751C7" w:rsidRPr="00B93A55" w14:paraId="2D1B9245" w14:textId="77777777" w:rsidTr="003E41E7">
        <w:trPr>
          <w:trHeight w:val="290"/>
        </w:trPr>
        <w:tc>
          <w:tcPr>
            <w:tcW w:w="9062" w:type="dxa"/>
            <w:gridSpan w:val="3"/>
            <w:noWrap/>
          </w:tcPr>
          <w:p w14:paraId="3FE41C39"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4D91E19E" w14:textId="77777777" w:rsidTr="003E41E7">
        <w:trPr>
          <w:trHeight w:val="290"/>
        </w:trPr>
        <w:tc>
          <w:tcPr>
            <w:tcW w:w="1413" w:type="dxa"/>
            <w:noWrap/>
            <w:hideMark/>
          </w:tcPr>
          <w:p w14:paraId="15C7398F"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16F7EA4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FE3A30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AF0FE7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A5F997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08F2979"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7F36C61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35B71D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62A681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3E9373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4F81D89"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73105D21" w14:textId="77777777" w:rsidTr="003E41E7">
        <w:trPr>
          <w:trHeight w:val="1448"/>
        </w:trPr>
        <w:tc>
          <w:tcPr>
            <w:tcW w:w="1413" w:type="dxa"/>
            <w:noWrap/>
            <w:hideMark/>
          </w:tcPr>
          <w:p w14:paraId="708943DC"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5CFD4A7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C1F186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FF787A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61BC48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24FEF26"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5F9658C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5D97BB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36B69F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ACC8D0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44A57A0"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3196996A" w14:textId="77777777" w:rsidTr="003E41E7">
        <w:trPr>
          <w:trHeight w:val="290"/>
        </w:trPr>
        <w:tc>
          <w:tcPr>
            <w:tcW w:w="1413" w:type="dxa"/>
            <w:noWrap/>
            <w:hideMark/>
          </w:tcPr>
          <w:p w14:paraId="55D1AA2E"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677A95D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4D2CE2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63C0D8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8DFDFF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F9EE99B"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1E74BCF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F8251E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58C122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9A083A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DE8A88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7BC58A99" w14:textId="77777777" w:rsidTr="003E41E7">
        <w:trPr>
          <w:trHeight w:val="290"/>
        </w:trPr>
        <w:tc>
          <w:tcPr>
            <w:tcW w:w="9062" w:type="dxa"/>
            <w:gridSpan w:val="3"/>
            <w:noWrap/>
          </w:tcPr>
          <w:p w14:paraId="798844D5"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1DD80CE9"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64630D16"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46F9E86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C56527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6A7B51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ADC17C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8897CB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D818A1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D9C3F0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E2A7D6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F19C96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B5097B0"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24294EF4"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474158C"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746B599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559363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A81007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1FCC3E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8F5595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771AE0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F2D542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90306E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42CD3D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6C7A59D"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5DCEDE42"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FC6B517"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651E140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DF29D1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F80772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E69100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F98C12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2378CA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81BAA1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85878C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51EA7B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414D22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7461FE1E"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64317DE4"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59B76D97"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6CF42AEB"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6E1F7D3E"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4914A7BD"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3873CD03"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D8CAD47"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28E057AF"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419094B7"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62A5F689"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13EFDF9B"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456BA03A"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6E5EC9AB"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3725D8CB"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CEEBBB1"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7DA3615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FDA6A5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92DC7A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C50E88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6F51F96"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34C9C5A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BAFD9B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43F9FE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7E69F7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580485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563D666"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6224C1A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743421F1"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1FAB545"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4A08E38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20D3BC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0BB590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E530E34"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3549E42"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00481AC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9370A3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F90EC3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5C25C8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C64BEE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FFD44C3"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3243F5A9"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7984315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F071AAE"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1E97501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DE7614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08B0CF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17C964E"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39EE182"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313E3AC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B60C1C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09F6A39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5EECFD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5A75759"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FCEC3AE"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7A35B59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16C15364" w14:textId="77777777" w:rsidR="00636C30" w:rsidRDefault="00636C30" w:rsidP="00636C30">
      <w:pPr>
        <w:rPr>
          <w:rFonts w:asciiTheme="majorHAnsi" w:hAnsiTheme="majorHAnsi" w:cstheme="majorHAnsi"/>
        </w:rPr>
      </w:pPr>
    </w:p>
    <w:p w14:paraId="7EE8D1E2" w14:textId="77777777" w:rsidR="001D2DAA" w:rsidRDefault="001D2DAA" w:rsidP="001D2DAA">
      <w:pPr>
        <w:rPr>
          <w:rFonts w:asciiTheme="majorHAnsi" w:hAnsiTheme="majorHAnsi" w:cstheme="majorHAnsi"/>
        </w:rPr>
      </w:pPr>
    </w:p>
    <w:p w14:paraId="44C8C349" w14:textId="77777777" w:rsidR="001D2DAA" w:rsidRDefault="001D2DAA" w:rsidP="001D2DAA">
      <w:pPr>
        <w:rPr>
          <w:rFonts w:asciiTheme="majorHAnsi" w:hAnsiTheme="majorHAnsi" w:cstheme="majorHAnsi"/>
        </w:rPr>
      </w:pPr>
      <w:r>
        <w:rPr>
          <w:rFonts w:asciiTheme="majorHAnsi" w:hAnsiTheme="majorHAnsi" w:cstheme="majorHAnsi"/>
        </w:rPr>
        <w:br w:type="page"/>
      </w:r>
    </w:p>
    <w:p w14:paraId="1EC61AB1"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30FAB3CC"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1CD06C22"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02D111B9"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29A1909E"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3635CFE6"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49757482"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3A0383C8"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33E3605B"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34F44E96"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1B77ADEE"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59584A58"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2B28E55E"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5AF400FE"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5DD6F2C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1A2D9D35"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62F4C1F5"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271066C2" w14:textId="77777777" w:rsidR="001D2DAA" w:rsidRPr="00977090" w:rsidRDefault="001D2DAA" w:rsidP="001D2DAA">
      <w:pPr>
        <w:pStyle w:val="Default"/>
        <w:rPr>
          <w:rFonts w:asciiTheme="majorHAnsi" w:hAnsiTheme="majorHAnsi" w:cstheme="majorHAnsi"/>
          <w:color w:val="auto"/>
          <w:sz w:val="22"/>
          <w:szCs w:val="22"/>
        </w:rPr>
      </w:pPr>
    </w:p>
    <w:p w14:paraId="3B42E722" w14:textId="77777777" w:rsidR="00C9604D" w:rsidRPr="006F53B6" w:rsidRDefault="00C9604D" w:rsidP="006F53B6">
      <w:pPr>
        <w:spacing w:after="0"/>
        <w:jc w:val="both"/>
        <w:rPr>
          <w:rFonts w:asciiTheme="majorHAnsi" w:hAnsiTheme="majorHAnsi" w:cstheme="majorHAnsi"/>
        </w:rPr>
      </w:pPr>
      <w:proofErr w:type="spellStart"/>
      <w:r w:rsidRPr="006F53B6">
        <w:rPr>
          <w:rFonts w:asciiTheme="majorHAnsi" w:hAnsiTheme="majorHAnsi" w:cstheme="majorHAnsi"/>
        </w:rPr>
        <w:t>Firma</w:t>
      </w:r>
      <w:proofErr w:type="spellEnd"/>
      <w:r w:rsidRPr="006F53B6">
        <w:rPr>
          <w:rFonts w:asciiTheme="majorHAnsi" w:hAnsiTheme="majorHAnsi" w:cstheme="majorHAnsi"/>
        </w:rPr>
        <w:t xml:space="preserve"> GE Healthcare </w:t>
      </w:r>
      <w:proofErr w:type="spellStart"/>
      <w:r w:rsidRPr="006F53B6">
        <w:rPr>
          <w:rFonts w:asciiTheme="majorHAnsi" w:hAnsiTheme="majorHAnsi" w:cstheme="majorHAnsi"/>
        </w:rPr>
        <w:t>współpracuje</w:t>
      </w:r>
      <w:proofErr w:type="spellEnd"/>
      <w:r w:rsidRPr="006F53B6">
        <w:rPr>
          <w:rFonts w:asciiTheme="majorHAnsi" w:hAnsiTheme="majorHAnsi" w:cstheme="majorHAnsi"/>
        </w:rPr>
        <w:t xml:space="preserve"> ze </w:t>
      </w:r>
      <w:proofErr w:type="spellStart"/>
      <w:r w:rsidRPr="006F53B6">
        <w:rPr>
          <w:rFonts w:asciiTheme="majorHAnsi" w:hAnsiTheme="majorHAnsi" w:cstheme="majorHAnsi"/>
        </w:rPr>
        <w:t>swoimi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dostawcami</w:t>
      </w:r>
      <w:proofErr w:type="spellEnd"/>
      <w:r w:rsidRPr="006F53B6">
        <w:rPr>
          <w:rFonts w:asciiTheme="majorHAnsi" w:hAnsiTheme="majorHAnsi" w:cstheme="majorHAnsi"/>
        </w:rPr>
        <w:t xml:space="preserve"> w </w:t>
      </w:r>
      <w:proofErr w:type="spellStart"/>
      <w:r w:rsidRPr="006F53B6">
        <w:rPr>
          <w:rFonts w:asciiTheme="majorHAnsi" w:hAnsiTheme="majorHAnsi" w:cstheme="majorHAnsi"/>
        </w:rPr>
        <w:t>celu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zagwarantowania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zgodności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importowanych</w:t>
      </w:r>
      <w:proofErr w:type="spellEnd"/>
      <w:r w:rsidRPr="006F53B6">
        <w:rPr>
          <w:rFonts w:asciiTheme="majorHAnsi" w:hAnsiTheme="majorHAnsi" w:cstheme="majorHAnsi"/>
        </w:rPr>
        <w:t xml:space="preserve"> do </w:t>
      </w:r>
      <w:proofErr w:type="spellStart"/>
      <w:r w:rsidRPr="006F53B6">
        <w:rPr>
          <w:rFonts w:asciiTheme="majorHAnsi" w:hAnsiTheme="majorHAnsi" w:cstheme="majorHAnsi"/>
        </w:rPr>
        <w:t>Unii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Europejskiej</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lub</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wytwarzanych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jej</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obszarze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produktów</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podlegających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artykułowi</w:t>
      </w:r>
      <w:proofErr w:type="spellEnd"/>
      <w:r w:rsidRPr="006F53B6">
        <w:rPr>
          <w:rFonts w:asciiTheme="majorHAnsi" w:hAnsiTheme="majorHAnsi" w:cstheme="majorHAnsi"/>
        </w:rPr>
        <w:t xml:space="preserve"> 33 </w:t>
      </w:r>
      <w:proofErr w:type="spellStart"/>
      <w:r w:rsidRPr="006F53B6">
        <w:rPr>
          <w:rFonts w:asciiTheme="majorHAnsi" w:hAnsiTheme="majorHAnsi" w:cstheme="majorHAnsi"/>
        </w:rPr>
        <w:t>rozporządzenia</w:t>
      </w:r>
      <w:proofErr w:type="spellEnd"/>
      <w:r w:rsidRPr="006F53B6">
        <w:rPr>
          <w:rFonts w:asciiTheme="majorHAnsi" w:hAnsiTheme="majorHAnsi" w:cstheme="majorHAnsi"/>
        </w:rPr>
        <w:t xml:space="preserve"> REACH (</w:t>
      </w:r>
      <w:proofErr w:type="spellStart"/>
      <w:r w:rsidRPr="006F53B6">
        <w:rPr>
          <w:rFonts w:asciiTheme="majorHAnsi" w:hAnsiTheme="majorHAnsi" w:cstheme="majorHAnsi"/>
        </w:rPr>
        <w:t>rozporządzenie</w:t>
      </w:r>
      <w:proofErr w:type="spellEnd"/>
      <w:r w:rsidRPr="006F53B6">
        <w:rPr>
          <w:rFonts w:asciiTheme="majorHAnsi" w:hAnsiTheme="majorHAnsi" w:cstheme="majorHAnsi"/>
        </w:rPr>
        <w:t xml:space="preserve"> WE nr 1907/2006), </w:t>
      </w:r>
      <w:proofErr w:type="spellStart"/>
      <w:r w:rsidRPr="006F53B6">
        <w:rPr>
          <w:rFonts w:asciiTheme="majorHAnsi" w:hAnsiTheme="majorHAnsi" w:cstheme="majorHAnsi"/>
        </w:rPr>
        <w:t>które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są</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stosowane</w:t>
      </w:r>
      <w:proofErr w:type="spellEnd"/>
      <w:r w:rsidRPr="006F53B6">
        <w:rPr>
          <w:rFonts w:asciiTheme="majorHAnsi" w:hAnsiTheme="majorHAnsi" w:cstheme="majorHAnsi"/>
        </w:rPr>
        <w:t xml:space="preserve"> w </w:t>
      </w:r>
      <w:proofErr w:type="spellStart"/>
      <w:r w:rsidRPr="006F53B6">
        <w:rPr>
          <w:rFonts w:asciiTheme="majorHAnsi" w:hAnsiTheme="majorHAnsi" w:cstheme="majorHAnsi"/>
        </w:rPr>
        <w:t>procesie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produkcji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wyrobów</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firmy</w:t>
      </w:r>
      <w:proofErr w:type="spellEnd"/>
      <w:r w:rsidRPr="006F53B6">
        <w:rPr>
          <w:rFonts w:asciiTheme="majorHAnsi" w:hAnsiTheme="majorHAnsi" w:cstheme="majorHAnsi"/>
        </w:rPr>
        <w:t xml:space="preserve"> GE Healthcare. </w:t>
      </w:r>
    </w:p>
    <w:p w14:paraId="10A9E835" w14:textId="5C1673F7" w:rsidR="00C9604D" w:rsidRPr="006F53B6" w:rsidRDefault="00C9604D" w:rsidP="006F53B6">
      <w:pPr>
        <w:spacing w:after="0"/>
        <w:jc w:val="both"/>
        <w:rPr>
          <w:rFonts w:asciiTheme="majorHAnsi" w:hAnsiTheme="majorHAnsi" w:cstheme="majorHAnsi"/>
        </w:rPr>
      </w:pPr>
      <w:proofErr w:type="spellStart"/>
      <w:r w:rsidRPr="006F53B6">
        <w:rPr>
          <w:rFonts w:asciiTheme="majorHAnsi" w:hAnsiTheme="majorHAnsi" w:cstheme="majorHAnsi"/>
        </w:rPr>
        <w:t>Firma</w:t>
      </w:r>
      <w:proofErr w:type="spellEnd"/>
      <w:r w:rsidRPr="006F53B6">
        <w:rPr>
          <w:rFonts w:asciiTheme="majorHAnsi" w:hAnsiTheme="majorHAnsi" w:cstheme="majorHAnsi"/>
        </w:rPr>
        <w:t xml:space="preserve"> GE Healthcare ma </w:t>
      </w:r>
      <w:proofErr w:type="spellStart"/>
      <w:r w:rsidRPr="006F53B6">
        <w:rPr>
          <w:rFonts w:asciiTheme="majorHAnsi" w:hAnsiTheme="majorHAnsi" w:cstheme="majorHAnsi"/>
        </w:rPr>
        <w:t>świadomość</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prawnych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zobowiązań</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wynikających</w:t>
      </w:r>
      <w:proofErr w:type="spellEnd"/>
      <w:r w:rsidRPr="006F53B6">
        <w:rPr>
          <w:rFonts w:asciiTheme="majorHAnsi" w:hAnsiTheme="majorHAnsi" w:cstheme="majorHAnsi"/>
        </w:rPr>
        <w:t xml:space="preserve"> z </w:t>
      </w:r>
      <w:proofErr w:type="spellStart"/>
      <w:r w:rsidRPr="006F53B6">
        <w:rPr>
          <w:rFonts w:asciiTheme="majorHAnsi" w:hAnsiTheme="majorHAnsi" w:cstheme="majorHAnsi"/>
        </w:rPr>
        <w:t>artykułu</w:t>
      </w:r>
      <w:proofErr w:type="spellEnd"/>
      <w:r w:rsidRPr="006F53B6">
        <w:rPr>
          <w:rFonts w:asciiTheme="majorHAnsi" w:hAnsiTheme="majorHAnsi" w:cstheme="majorHAnsi"/>
        </w:rPr>
        <w:t xml:space="preserve"> 33 </w:t>
      </w:r>
      <w:proofErr w:type="spellStart"/>
      <w:r w:rsidRPr="006F53B6">
        <w:rPr>
          <w:rFonts w:asciiTheme="majorHAnsi" w:hAnsiTheme="majorHAnsi" w:cstheme="majorHAnsi"/>
        </w:rPr>
        <w:t>rozporządzenia</w:t>
      </w:r>
      <w:proofErr w:type="spellEnd"/>
      <w:r w:rsidRPr="006F53B6">
        <w:rPr>
          <w:rFonts w:asciiTheme="majorHAnsi" w:hAnsiTheme="majorHAnsi" w:cstheme="majorHAnsi"/>
        </w:rPr>
        <w:t xml:space="preserve"> REACH </w:t>
      </w:r>
      <w:proofErr w:type="spellStart"/>
      <w:r w:rsidRPr="006F53B6">
        <w:rPr>
          <w:rFonts w:asciiTheme="majorHAnsi" w:hAnsiTheme="majorHAnsi" w:cstheme="majorHAnsi"/>
        </w:rPr>
        <w:t>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publikacji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listy</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kandydackiej</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substancji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stanowiących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bardzo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duże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zagrożenie</w:t>
      </w:r>
      <w:proofErr w:type="spellEnd"/>
      <w:r w:rsidRPr="006F53B6">
        <w:rPr>
          <w:rFonts w:asciiTheme="majorHAnsi" w:hAnsiTheme="majorHAnsi" w:cstheme="majorHAnsi"/>
        </w:rPr>
        <w:t xml:space="preserve"> (SVHC), </w:t>
      </w:r>
      <w:proofErr w:type="spellStart"/>
      <w:r w:rsidRPr="006F53B6">
        <w:rPr>
          <w:rFonts w:asciiTheme="majorHAnsi" w:hAnsiTheme="majorHAnsi" w:cstheme="majorHAnsi"/>
        </w:rPr>
        <w:t>zgodnie</w:t>
      </w:r>
      <w:proofErr w:type="spellEnd"/>
      <w:r w:rsidRPr="006F53B6">
        <w:rPr>
          <w:rFonts w:asciiTheme="majorHAnsi" w:hAnsiTheme="majorHAnsi" w:cstheme="majorHAnsi"/>
        </w:rPr>
        <w:t xml:space="preserve"> z </w:t>
      </w:r>
      <w:proofErr w:type="spellStart"/>
      <w:r w:rsidRPr="006F53B6">
        <w:rPr>
          <w:rFonts w:asciiTheme="majorHAnsi" w:hAnsiTheme="majorHAnsi" w:cstheme="majorHAnsi"/>
        </w:rPr>
        <w:t>artykułem</w:t>
      </w:r>
      <w:proofErr w:type="spellEnd"/>
      <w:r w:rsidRPr="006F53B6">
        <w:rPr>
          <w:rFonts w:asciiTheme="majorHAnsi" w:hAnsiTheme="majorHAnsi" w:cstheme="majorHAnsi"/>
        </w:rPr>
        <w:t xml:space="preserve"> 59 </w:t>
      </w:r>
      <w:proofErr w:type="spellStart"/>
      <w:r w:rsidRPr="006F53B6">
        <w:rPr>
          <w:rFonts w:asciiTheme="majorHAnsi" w:hAnsiTheme="majorHAnsi" w:cstheme="majorHAnsi"/>
        </w:rPr>
        <w:t>rozporządzenia</w:t>
      </w:r>
      <w:proofErr w:type="spellEnd"/>
      <w:r w:rsidRPr="006F53B6">
        <w:rPr>
          <w:rFonts w:asciiTheme="majorHAnsi" w:hAnsiTheme="majorHAnsi" w:cstheme="majorHAnsi"/>
        </w:rPr>
        <w:t xml:space="preserve"> REACH, </w:t>
      </w:r>
      <w:proofErr w:type="spellStart"/>
      <w:r w:rsidRPr="006F53B6">
        <w:rPr>
          <w:rFonts w:asciiTheme="majorHAnsi" w:hAnsiTheme="majorHAnsi" w:cstheme="majorHAnsi"/>
        </w:rPr>
        <w:t>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będzie</w:t>
      </w:r>
      <w:proofErr w:type="spellEnd"/>
      <w:r w:rsidRPr="006F53B6">
        <w:rPr>
          <w:rFonts w:asciiTheme="majorHAnsi" w:hAnsiTheme="majorHAnsi" w:cstheme="majorHAnsi"/>
        </w:rPr>
        <w:t xml:space="preserve"> ich </w:t>
      </w:r>
      <w:proofErr w:type="spellStart"/>
      <w:r w:rsidRPr="006F53B6">
        <w:rPr>
          <w:rFonts w:asciiTheme="majorHAnsi" w:hAnsiTheme="majorHAnsi" w:cstheme="majorHAnsi"/>
        </w:rPr>
        <w:t>przestrzegać</w:t>
      </w:r>
      <w:proofErr w:type="spellEnd"/>
      <w:r w:rsidRPr="006F53B6">
        <w:rPr>
          <w:rFonts w:asciiTheme="majorHAnsi" w:hAnsiTheme="majorHAnsi" w:cstheme="majorHAnsi"/>
        </w:rPr>
        <w:t xml:space="preserve">. </w:t>
      </w:r>
    </w:p>
    <w:p w14:paraId="613DFF76" w14:textId="77777777" w:rsidR="00C9604D" w:rsidRPr="006F53B6" w:rsidRDefault="00C9604D" w:rsidP="006F53B6">
      <w:pPr>
        <w:spacing w:after="0"/>
        <w:jc w:val="both"/>
        <w:rPr>
          <w:rFonts w:asciiTheme="majorHAnsi" w:hAnsiTheme="majorHAnsi" w:cstheme="majorHAnsi"/>
        </w:rPr>
      </w:pPr>
      <w:proofErr w:type="spellStart"/>
      <w:r w:rsidRPr="006F53B6">
        <w:rPr>
          <w:rFonts w:asciiTheme="majorHAnsi" w:hAnsiTheme="majorHAnsi" w:cstheme="majorHAnsi"/>
        </w:rPr>
        <w:t>Prawidłowo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użytkowanych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produktów</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firmy</w:t>
      </w:r>
      <w:proofErr w:type="spellEnd"/>
      <w:r w:rsidRPr="006F53B6">
        <w:rPr>
          <w:rFonts w:asciiTheme="majorHAnsi" w:hAnsiTheme="majorHAnsi" w:cstheme="majorHAnsi"/>
        </w:rPr>
        <w:t xml:space="preserve"> GE Healthcare </w:t>
      </w:r>
      <w:proofErr w:type="spellStart"/>
      <w:r w:rsidRPr="006F53B6">
        <w:rPr>
          <w:rFonts w:asciiTheme="majorHAnsi" w:hAnsiTheme="majorHAnsi" w:cstheme="majorHAnsi"/>
        </w:rPr>
        <w:t>nie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dotyczy</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zjawisko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zamierzonego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uwalniania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substancji</w:t>
      </w:r>
      <w:proofErr w:type="spellEnd"/>
      <w:r w:rsidRPr="006F53B6">
        <w:rPr>
          <w:rFonts w:asciiTheme="majorHAnsi" w:hAnsiTheme="majorHAnsi" w:cstheme="majorHAnsi"/>
        </w:rPr>
        <w:t xml:space="preserve">. </w:t>
      </w:r>
    </w:p>
    <w:p w14:paraId="227E3347" w14:textId="4A7C5CAD" w:rsidR="001D2DAA" w:rsidRPr="006F53B6" w:rsidRDefault="00924DEF" w:rsidP="006F53B6">
      <w:pPr>
        <w:spacing w:after="0"/>
        <w:jc w:val="both"/>
        <w:rPr>
          <w:rFonts w:asciiTheme="majorHAnsi" w:hAnsiTheme="majorHAnsi" w:cstheme="majorHAnsi"/>
        </w:rPr>
      </w:pPr>
      <w:r w:rsidRPr="006F53B6">
        <w:rPr>
          <w:rFonts w:asciiTheme="majorHAnsi" w:hAnsiTheme="majorHAnsi" w:cstheme="majorHAnsi"/>
        </w:rPr>
        <w:t xml:space="preserve">Z </w:t>
      </w:r>
      <w:proofErr w:type="spellStart"/>
      <w:r w:rsidRPr="006F53B6">
        <w:rPr>
          <w:rFonts w:asciiTheme="majorHAnsi" w:hAnsiTheme="majorHAnsi" w:cstheme="majorHAnsi"/>
        </w:rPr>
        <w:t>informacji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przekazanych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nam</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dotychczas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przez</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naszych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dostawców</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wynika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że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wspomniane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substancje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występują</w:t>
      </w:r>
      <w:proofErr w:type="spellEnd"/>
      <w:r w:rsidRPr="006F53B6">
        <w:rPr>
          <w:rFonts w:asciiTheme="majorHAnsi" w:hAnsiTheme="majorHAnsi" w:cstheme="majorHAnsi"/>
        </w:rPr>
        <w:t xml:space="preserve"> w </w:t>
      </w:r>
      <w:proofErr w:type="spellStart"/>
      <w:r w:rsidRPr="006F53B6">
        <w:rPr>
          <w:rFonts w:asciiTheme="majorHAnsi" w:hAnsiTheme="majorHAnsi" w:cstheme="majorHAnsi"/>
        </w:rPr>
        <w:t>następujących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produktach</w:t>
      </w:r>
      <w:proofErr w:type="spellEnd"/>
      <w:r w:rsidRPr="006F53B6">
        <w:rPr>
          <w:rFonts w:asciiTheme="majorHAnsi" w:hAnsiTheme="majorHAnsi" w:cstheme="majorHAnsi"/>
        </w:rPr>
        <w:t xml:space="preserve"> w </w:t>
      </w:r>
      <w:proofErr w:type="spellStart"/>
      <w:r w:rsidRPr="006F53B6">
        <w:rPr>
          <w:rFonts w:asciiTheme="majorHAnsi" w:hAnsiTheme="majorHAnsi" w:cstheme="majorHAnsi"/>
        </w:rPr>
        <w:t>stężeniu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które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może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przekraczać</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wartość</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graniczną</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wynoszącą</w:t>
      </w:r>
      <w:proofErr w:type="spellEnd"/>
      <w:r w:rsidRPr="006F53B6">
        <w:rPr>
          <w:rFonts w:asciiTheme="majorHAnsi" w:hAnsiTheme="majorHAnsi" w:cstheme="majorHAnsi"/>
        </w:rPr>
        <w:t xml:space="preserve"> 0,1% </w:t>
      </w:r>
      <w:proofErr w:type="spellStart"/>
      <w:r w:rsidRPr="006F53B6">
        <w:rPr>
          <w:rFonts w:asciiTheme="majorHAnsi" w:hAnsiTheme="majorHAnsi" w:cstheme="majorHAnsi"/>
        </w:rPr>
        <w:t>wagi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produktu</w:t>
      </w:r>
      <w:proofErr w:type="spellEnd"/>
      <w:r w:rsidRPr="006F53B6">
        <w:rPr>
          <w:rFonts w:asciiTheme="majorHAnsi" w:hAnsiTheme="majorHAnsi" w:cstheme="majorHAnsi"/>
        </w:rPr>
        <w:t>:</w:t>
      </w:r>
    </w:p>
    <w:p w14:paraId="5E81E35D" w14:textId="77777777" w:rsidR="00C9604D" w:rsidRPr="006706BE" w:rsidRDefault="00C9604D" w:rsidP="00C9604D">
      <w:pPr>
        <w:rPr>
          <w:rFonts w:asciiTheme="majorHAnsi" w:hAnsiTheme="majorHAnsi" w:cstheme="majorHAnsi"/>
          <w:color w:val="ED7D31" w:themeColor="accent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2EA1BD1F" w14:textId="77777777" w:rsidTr="00636C30">
        <w:trPr>
          <w:trHeight w:val="290"/>
        </w:trPr>
        <w:tc>
          <w:tcPr>
            <w:tcW w:w="1413" w:type="dxa"/>
            <w:noWrap/>
          </w:tcPr>
          <w:p w14:paraId="37FC45F2" w14:textId="77777777" w:rsidR="001D2DAA" w:rsidRPr="006F53B6" w:rsidRDefault="004F3447"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Nazwa</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produktu</w:t>
            </w:r>
            <w:proofErr w:type="spellEnd"/>
          </w:p>
        </w:tc>
        <w:tc>
          <w:tcPr>
            <w:tcW w:w="5953" w:type="dxa"/>
          </w:tcPr>
          <w:p w14:paraId="6414229D" w14:textId="77777777" w:rsidR="001D2DAA" w:rsidRPr="006F53B6" w:rsidRDefault="004F3447"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Nazwa</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substancji</w:t>
            </w:r>
            <w:proofErr w:type="spellEnd"/>
          </w:p>
        </w:tc>
        <w:tc>
          <w:tcPr>
            <w:tcW w:w="1696" w:type="dxa"/>
          </w:tcPr>
          <w:p w14:paraId="7380C8BC" w14:textId="77777777" w:rsidR="001D2DAA" w:rsidRPr="006F53B6" w:rsidRDefault="007801C3" w:rsidP="005A2C7D">
            <w:pPr>
              <w:spacing w:after="0" w:line="240" w:lineRule="auto"/>
              <w:rPr>
                <w:rFonts w:asciiTheme="majorHAnsi" w:hAnsiTheme="majorHAnsi" w:cstheme="majorHAnsi"/>
                <w:b/>
                <w:bCs/>
                <w:lang w:val="fr-FR"/>
              </w:rPr>
            </w:pPr>
            <w:r w:rsidRPr="006F53B6">
              <w:rPr>
                <w:rFonts w:asciiTheme="majorHAnsi" w:hAnsiTheme="majorHAnsi" w:cstheme="majorHAnsi"/>
                <w:b/>
                <w:bCs/>
                <w:lang w:val="fr-FR"/>
              </w:rPr>
              <w:t>Nr CAS</w:t>
            </w:r>
          </w:p>
        </w:tc>
      </w:tr>
      <w:tr w:rsidR="00A751C7" w:rsidRPr="00B93A55" w14:paraId="676C4A30" w14:textId="77777777" w:rsidTr="003E41E7">
        <w:trPr>
          <w:trHeight w:val="290"/>
        </w:trPr>
        <w:tc>
          <w:tcPr>
            <w:tcW w:w="9062" w:type="dxa"/>
            <w:gridSpan w:val="3"/>
            <w:noWrap/>
          </w:tcPr>
          <w:p w14:paraId="374183DB"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1D591AF5" w14:textId="77777777" w:rsidTr="003E41E7">
        <w:trPr>
          <w:trHeight w:val="290"/>
        </w:trPr>
        <w:tc>
          <w:tcPr>
            <w:tcW w:w="1413" w:type="dxa"/>
            <w:noWrap/>
            <w:hideMark/>
          </w:tcPr>
          <w:p w14:paraId="40670747"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4B8F019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83CCCA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F850C5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E3783B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2C47446"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45AD59C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659F18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39478E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1EFF99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E47A38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229AC92B" w14:textId="77777777" w:rsidTr="003E41E7">
        <w:trPr>
          <w:trHeight w:val="1448"/>
        </w:trPr>
        <w:tc>
          <w:tcPr>
            <w:tcW w:w="1413" w:type="dxa"/>
            <w:noWrap/>
            <w:hideMark/>
          </w:tcPr>
          <w:p w14:paraId="7E6BE35F"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0BFEA07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25E868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F5C346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F5305D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F1412AD"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001D3D3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CC1E33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5374B7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557E8C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88A097D"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63FA0C3A" w14:textId="77777777" w:rsidTr="003E41E7">
        <w:trPr>
          <w:trHeight w:val="290"/>
        </w:trPr>
        <w:tc>
          <w:tcPr>
            <w:tcW w:w="1413" w:type="dxa"/>
            <w:noWrap/>
            <w:hideMark/>
          </w:tcPr>
          <w:p w14:paraId="27243869"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3394DA0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07E109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F506CD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B6B6BA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30E1527"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6E4E3C1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A63ACF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CEFA0E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FFC8C9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6AA729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32D68882" w14:textId="77777777" w:rsidTr="003E41E7">
        <w:trPr>
          <w:trHeight w:val="290"/>
        </w:trPr>
        <w:tc>
          <w:tcPr>
            <w:tcW w:w="9062" w:type="dxa"/>
            <w:gridSpan w:val="3"/>
            <w:noWrap/>
          </w:tcPr>
          <w:p w14:paraId="0AB3E7F6"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7908D727"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6B3FA948"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044E28F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587593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4773F2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DBE3AF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5E81AE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545DB4B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1303-86-2</w:t>
            </w:r>
          </w:p>
          <w:p w14:paraId="29EB8AC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C38DA0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1317-36-8</w:t>
            </w:r>
          </w:p>
          <w:p w14:paraId="3C1011A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F833EB0"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1E783F23"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6332DE9D"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3193192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338F17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A95401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AC7CF8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E71317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784017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E382A0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BB0866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E2060E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B31543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2D52F225"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61AD8F1"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4F01440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E9ACBE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38C57B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A0D234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510206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6B9058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3162FF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53BC0D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062FB3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04B218E"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4F305396"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622039B3"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09527414"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3B3BD3E5"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013CCD9D"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14A8B636"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2762F59C"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1A75254C"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1B24989C"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65FF5925"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100BD90B"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319228B4"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7E1D8C59"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0C03854D"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65431D3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E9E2712"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244DB76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480D5E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D9B250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3E8987E"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D2F0BE4"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50E7F5E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DD0A09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7AD914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8AA40B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6812E5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4DC2149"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3BF5F19E"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1B29C05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AC52A50"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58F51CA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E58E11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2C153C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DB7DA4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13CA4BC"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6E88B82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0E0EAE8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44A479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0A9177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1F5FF2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5497918"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3EB75AF8"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594DF333"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2BC4F185"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3D72575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68D0D7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C49F01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B8D3B4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427520F"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7383BF5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04F9DA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95F189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03FDA7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CACA6C6"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686E5D4"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702BBF1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2245174A" w14:textId="77777777" w:rsidR="00636C30" w:rsidRDefault="00636C30" w:rsidP="00636C30">
      <w:pPr>
        <w:rPr>
          <w:rFonts w:asciiTheme="majorHAnsi" w:hAnsiTheme="majorHAnsi" w:cstheme="majorHAnsi"/>
        </w:rPr>
      </w:pPr>
    </w:p>
    <w:p w14:paraId="4E06B87B" w14:textId="77777777" w:rsidR="001D2DAA" w:rsidRDefault="001D2DAA" w:rsidP="001D2DAA">
      <w:pPr>
        <w:rPr>
          <w:rFonts w:asciiTheme="majorHAnsi" w:hAnsiTheme="majorHAnsi" w:cstheme="majorHAnsi"/>
        </w:rPr>
      </w:pPr>
    </w:p>
    <w:p w14:paraId="72E02C35" w14:textId="77777777" w:rsidR="001D2DAA" w:rsidRDefault="001D2DAA" w:rsidP="001D2DAA">
      <w:pPr>
        <w:rPr>
          <w:rFonts w:asciiTheme="majorHAnsi" w:hAnsiTheme="majorHAnsi" w:cstheme="majorHAnsi"/>
        </w:rPr>
      </w:pPr>
      <w:r>
        <w:rPr>
          <w:rFonts w:asciiTheme="majorHAnsi" w:hAnsiTheme="majorHAnsi" w:cstheme="majorHAnsi"/>
        </w:rPr>
        <w:br w:type="page"/>
      </w:r>
    </w:p>
    <w:p w14:paraId="5C4C4EFF"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767F86FE"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156AAFDE"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38E99936"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74A783FB"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597F2C71"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7ED8D96B"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6019CD10"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58DCCDEE"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29D50B9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6D2B4BF1"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310D4873"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65A12CD5"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7341C509"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3D30EC6C"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18EAB258"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7EC89BE7"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3EB54977" w14:textId="77777777" w:rsidR="001D2DAA" w:rsidRPr="00977090" w:rsidRDefault="001D2DAA" w:rsidP="001D2DAA">
      <w:pPr>
        <w:pStyle w:val="Default"/>
        <w:rPr>
          <w:rFonts w:asciiTheme="majorHAnsi" w:hAnsiTheme="majorHAnsi" w:cstheme="majorHAnsi"/>
          <w:color w:val="auto"/>
          <w:sz w:val="22"/>
          <w:szCs w:val="22"/>
        </w:rPr>
      </w:pPr>
    </w:p>
    <w:p w14:paraId="4BD029BB" w14:textId="77777777" w:rsidR="00A3659D" w:rsidRPr="006F53B6" w:rsidRDefault="00A3659D" w:rsidP="006F53B6">
      <w:pPr>
        <w:spacing w:after="0"/>
        <w:jc w:val="both"/>
        <w:rPr>
          <w:rFonts w:asciiTheme="majorHAnsi" w:hAnsiTheme="majorHAnsi" w:cstheme="majorHAnsi"/>
          <w:lang w:val="pt-BR"/>
        </w:rPr>
      </w:pPr>
      <w:r w:rsidRPr="006F53B6">
        <w:rPr>
          <w:rFonts w:asciiTheme="majorHAnsi" w:hAnsiTheme="majorHAnsi" w:cstheme="majorHAnsi"/>
          <w:lang w:val="pt-BR"/>
        </w:rPr>
        <w:t xml:space="preserve">A GE Healthcare trabalha com os seus fornecedores para assegurar a conformidade dos artigos importados ou fabricados dentro da União Europeia sujeitos ao artigo 33.º do regulamento REACH (CE – N.º 1907/2006) e que são utilizados no fabrico de produtos da GE Healthcare. </w:t>
      </w:r>
    </w:p>
    <w:p w14:paraId="0BDDBA10" w14:textId="26AF0748" w:rsidR="00A3659D" w:rsidRPr="006F53B6" w:rsidRDefault="00A3659D" w:rsidP="006F53B6">
      <w:pPr>
        <w:spacing w:after="0"/>
        <w:jc w:val="both"/>
        <w:rPr>
          <w:rFonts w:asciiTheme="majorHAnsi" w:hAnsiTheme="majorHAnsi" w:cstheme="majorHAnsi"/>
          <w:lang w:val="pt-BR"/>
        </w:rPr>
      </w:pPr>
      <w:r w:rsidRPr="006F53B6">
        <w:rPr>
          <w:rFonts w:asciiTheme="majorHAnsi" w:hAnsiTheme="majorHAnsi" w:cstheme="majorHAnsi"/>
          <w:lang w:val="pt-BR"/>
        </w:rPr>
        <w:t xml:space="preserve">Relativamente à aplicação do artigo 33.º do regulamento REACH e à publicação da Lista de substâncias que suscitam elevada preocupação (SVHC), de acordo com o artigo 59.º do regulamento REACH, a GE Healthcare tem conhecimento das suas obrigações legais e agirá em conformidade com as mesmas. </w:t>
      </w:r>
    </w:p>
    <w:p w14:paraId="5437A418" w14:textId="77777777" w:rsidR="00A3659D" w:rsidRPr="006F53B6" w:rsidRDefault="00A3659D" w:rsidP="006F53B6">
      <w:pPr>
        <w:spacing w:after="0"/>
        <w:jc w:val="both"/>
        <w:rPr>
          <w:rFonts w:asciiTheme="majorHAnsi" w:hAnsiTheme="majorHAnsi" w:cstheme="majorHAnsi"/>
          <w:lang w:val="pt-BR"/>
        </w:rPr>
      </w:pPr>
      <w:r w:rsidRPr="006F53B6">
        <w:rPr>
          <w:rFonts w:asciiTheme="majorHAnsi" w:hAnsiTheme="majorHAnsi" w:cstheme="majorHAnsi"/>
          <w:lang w:val="pt-BR"/>
        </w:rPr>
        <w:t xml:space="preserve">Em condições normais de utilização, os artigos da GE Healthcare não "libertam substâncias intencionalmente". </w:t>
      </w:r>
    </w:p>
    <w:p w14:paraId="6888D952" w14:textId="77777777" w:rsidR="00297126" w:rsidRPr="006F53B6" w:rsidRDefault="00297126" w:rsidP="006F53B6">
      <w:pPr>
        <w:spacing w:after="0"/>
        <w:jc w:val="both"/>
        <w:rPr>
          <w:rFonts w:asciiTheme="majorHAnsi" w:hAnsiTheme="majorHAnsi" w:cstheme="majorHAnsi"/>
          <w:lang w:val="pt-BR"/>
        </w:rPr>
      </w:pPr>
      <w:r w:rsidRPr="006F53B6">
        <w:rPr>
          <w:rFonts w:asciiTheme="majorHAnsi" w:hAnsiTheme="majorHAnsi" w:cstheme="majorHAnsi"/>
          <w:lang w:val="pt-BR"/>
        </w:rPr>
        <w:t>Com as informações dos nossos fornecedores até à data, estas substâncias estão presentes nos seguintes produtos com uma concentração que pode ser superior ao limite de 0,1% de massa por massa ao nível do artigo:</w:t>
      </w:r>
    </w:p>
    <w:p w14:paraId="72CDF678" w14:textId="77777777" w:rsidR="00A3659D" w:rsidRPr="00DE06BF" w:rsidRDefault="00A3659D" w:rsidP="00A3659D">
      <w:pPr>
        <w:spacing w:after="0"/>
        <w:rPr>
          <w:rFonts w:asciiTheme="majorHAnsi" w:hAnsiTheme="majorHAnsi" w:cstheme="majorHAnsi"/>
          <w:color w:val="ED7D31" w:themeColor="accent2"/>
          <w:lang w:val="pt-BR"/>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5FAB8DBC" w14:textId="77777777" w:rsidTr="00636C30">
        <w:trPr>
          <w:trHeight w:val="290"/>
        </w:trPr>
        <w:tc>
          <w:tcPr>
            <w:tcW w:w="1413" w:type="dxa"/>
            <w:noWrap/>
          </w:tcPr>
          <w:p w14:paraId="627550A7" w14:textId="77777777" w:rsidR="001D2DAA" w:rsidRPr="006F53B6" w:rsidRDefault="00482DF7" w:rsidP="005A2C7D">
            <w:pPr>
              <w:spacing w:after="0" w:line="240" w:lineRule="auto"/>
              <w:rPr>
                <w:rFonts w:asciiTheme="majorHAnsi" w:hAnsiTheme="majorHAnsi" w:cstheme="majorHAnsi"/>
                <w:b/>
                <w:bCs/>
              </w:rPr>
            </w:pPr>
            <w:r w:rsidRPr="006F53B6">
              <w:rPr>
                <w:rFonts w:asciiTheme="majorHAnsi" w:hAnsiTheme="majorHAnsi" w:cstheme="majorHAnsi"/>
                <w:b/>
                <w:bCs/>
              </w:rPr>
              <w:t xml:space="preserve">Nome do </w:t>
            </w:r>
            <w:proofErr w:type="spellStart"/>
            <w:r w:rsidRPr="006F53B6">
              <w:rPr>
                <w:rFonts w:asciiTheme="majorHAnsi" w:hAnsiTheme="majorHAnsi" w:cstheme="majorHAnsi"/>
                <w:b/>
                <w:bCs/>
              </w:rPr>
              <w:t>produto</w:t>
            </w:r>
            <w:proofErr w:type="spellEnd"/>
          </w:p>
        </w:tc>
        <w:tc>
          <w:tcPr>
            <w:tcW w:w="5953" w:type="dxa"/>
          </w:tcPr>
          <w:p w14:paraId="49A408A2" w14:textId="77777777" w:rsidR="001D2DAA" w:rsidRPr="006F53B6" w:rsidRDefault="00482DF7" w:rsidP="005A2C7D">
            <w:pPr>
              <w:spacing w:after="0" w:line="240" w:lineRule="auto"/>
              <w:rPr>
                <w:rFonts w:asciiTheme="majorHAnsi" w:hAnsiTheme="majorHAnsi" w:cstheme="majorHAnsi"/>
                <w:b/>
                <w:bCs/>
              </w:rPr>
            </w:pPr>
            <w:r w:rsidRPr="006F53B6">
              <w:rPr>
                <w:rFonts w:asciiTheme="majorHAnsi" w:hAnsiTheme="majorHAnsi" w:cstheme="majorHAnsi"/>
                <w:b/>
                <w:bCs/>
              </w:rPr>
              <w:t xml:space="preserve">Nome da </w:t>
            </w:r>
            <w:proofErr w:type="spellStart"/>
            <w:r w:rsidRPr="006F53B6">
              <w:rPr>
                <w:rFonts w:asciiTheme="majorHAnsi" w:hAnsiTheme="majorHAnsi" w:cstheme="majorHAnsi"/>
                <w:b/>
                <w:bCs/>
              </w:rPr>
              <w:t>substância</w:t>
            </w:r>
            <w:proofErr w:type="spellEnd"/>
          </w:p>
        </w:tc>
        <w:tc>
          <w:tcPr>
            <w:tcW w:w="1696" w:type="dxa"/>
          </w:tcPr>
          <w:p w14:paraId="34EC1342" w14:textId="77777777" w:rsidR="001D2DAA" w:rsidRPr="006F53B6" w:rsidRDefault="00482DF7" w:rsidP="005A2C7D">
            <w:pPr>
              <w:spacing w:after="0" w:line="240" w:lineRule="auto"/>
              <w:rPr>
                <w:rFonts w:asciiTheme="majorHAnsi" w:hAnsiTheme="majorHAnsi" w:cstheme="majorHAnsi"/>
                <w:b/>
                <w:bCs/>
                <w:lang w:val="fr-FR"/>
              </w:rPr>
            </w:pPr>
            <w:proofErr w:type="gramStart"/>
            <w:r w:rsidRPr="006F53B6">
              <w:rPr>
                <w:rFonts w:asciiTheme="majorHAnsi" w:hAnsiTheme="majorHAnsi" w:cstheme="majorHAnsi"/>
                <w:b/>
                <w:bCs/>
                <w:lang w:val="fr-FR"/>
              </w:rPr>
              <w:t>N.º</w:t>
            </w:r>
            <w:proofErr w:type="gramEnd"/>
            <w:r w:rsidRPr="006F53B6">
              <w:rPr>
                <w:rFonts w:asciiTheme="majorHAnsi" w:hAnsiTheme="majorHAnsi" w:cstheme="majorHAnsi"/>
                <w:b/>
                <w:bCs/>
                <w:lang w:val="fr-FR"/>
              </w:rPr>
              <w:t xml:space="preserve"> CAS</w:t>
            </w:r>
          </w:p>
        </w:tc>
      </w:tr>
      <w:tr w:rsidR="00A751C7" w:rsidRPr="00B93A55" w14:paraId="71884C30" w14:textId="77777777" w:rsidTr="003E41E7">
        <w:trPr>
          <w:trHeight w:val="290"/>
        </w:trPr>
        <w:tc>
          <w:tcPr>
            <w:tcW w:w="9062" w:type="dxa"/>
            <w:gridSpan w:val="3"/>
            <w:noWrap/>
          </w:tcPr>
          <w:p w14:paraId="556A7E9E"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0BF3FFA8" w14:textId="77777777" w:rsidTr="003E41E7">
        <w:trPr>
          <w:trHeight w:val="290"/>
        </w:trPr>
        <w:tc>
          <w:tcPr>
            <w:tcW w:w="1413" w:type="dxa"/>
            <w:noWrap/>
            <w:hideMark/>
          </w:tcPr>
          <w:p w14:paraId="14DFB0A5"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6488704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14902F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903215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82299C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272A10B"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0298E17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3E0F3E9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9E22BC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4B74C1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6EDCD9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57AD20DA" w14:textId="77777777" w:rsidTr="003E41E7">
        <w:trPr>
          <w:trHeight w:val="1448"/>
        </w:trPr>
        <w:tc>
          <w:tcPr>
            <w:tcW w:w="1413" w:type="dxa"/>
            <w:noWrap/>
            <w:hideMark/>
          </w:tcPr>
          <w:p w14:paraId="2AA38A8D"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5F0717B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E26A9A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C47D03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A0B0E8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538BD8F"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4CCD0E7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1B093D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E248A2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AD5CFE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7962F9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42E2D685" w14:textId="77777777" w:rsidTr="003E41E7">
        <w:trPr>
          <w:trHeight w:val="290"/>
        </w:trPr>
        <w:tc>
          <w:tcPr>
            <w:tcW w:w="1413" w:type="dxa"/>
            <w:noWrap/>
            <w:hideMark/>
          </w:tcPr>
          <w:p w14:paraId="27D2396B"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46F178C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8B2C83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DB733E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84FFE6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FDFF0E3"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7D29202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DC2B94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24BB00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CAD4D2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F75524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7AC6328F" w14:textId="77777777" w:rsidTr="003E41E7">
        <w:trPr>
          <w:trHeight w:val="290"/>
        </w:trPr>
        <w:tc>
          <w:tcPr>
            <w:tcW w:w="9062" w:type="dxa"/>
            <w:gridSpan w:val="3"/>
            <w:noWrap/>
          </w:tcPr>
          <w:p w14:paraId="134C8CE7"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6AAFB5F7"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208EA471"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1B474CB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956847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723778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6AC804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2C1292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753F04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1303-86-2</w:t>
            </w:r>
          </w:p>
          <w:p w14:paraId="6A36394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D41008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1BE5F2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F54939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2451-62-9</w:t>
            </w:r>
          </w:p>
        </w:tc>
      </w:tr>
      <w:tr w:rsidR="00A751C7" w14:paraId="51B9C5D6"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1E4C408"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7041580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5DBA8F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6EEC9A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1BADA0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84BB1A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AEC70A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BAB581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760446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32BE9A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6B03A50"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38421BF5"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EE7741D"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705E606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FA5A13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026AB9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691E6B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64D0E6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152DDB3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B405C8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F2A3E5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2A6A29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DB94969"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7B558262"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5B376589"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773F294F"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4D20B528"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7AD2AA4D"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7EDC45F4"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637496C0"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0AC8405C"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3F59BF85"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711530B3"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54FA25A2"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1B829331"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0465A031"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1A77E3AA"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33142922"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9BF2A74"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45CC75E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FD365D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BF619C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B46F39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BFC49C3"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78A6B07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DCD351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347A046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806B4F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45A06C8"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CC2FB53"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6F3082B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3F80A31B"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277AD817"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2EC0C2E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402A60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4A879F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E5CCD2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9364C3F"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7317DDE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5A80E8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B4137D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007156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ACC1CE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37CBA22"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32FD6E6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2F6E8938"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4FE262A"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650AED8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F48215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D33449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2DB5428"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33873AC"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07BA721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16B89A3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300844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5E0356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56E3399"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FBE335F"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6EC5A597"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134FF626" w14:textId="77777777" w:rsidR="00636C30" w:rsidRDefault="00636C30" w:rsidP="00636C30">
      <w:pPr>
        <w:rPr>
          <w:rFonts w:asciiTheme="majorHAnsi" w:hAnsiTheme="majorHAnsi" w:cstheme="majorHAnsi"/>
        </w:rPr>
      </w:pPr>
    </w:p>
    <w:p w14:paraId="789FEB2F" w14:textId="77777777" w:rsidR="001D2DAA" w:rsidRDefault="001D2DAA" w:rsidP="001D2DAA">
      <w:pPr>
        <w:rPr>
          <w:rFonts w:asciiTheme="majorHAnsi" w:hAnsiTheme="majorHAnsi" w:cstheme="majorHAnsi"/>
        </w:rPr>
      </w:pPr>
    </w:p>
    <w:p w14:paraId="2A0E505A" w14:textId="77777777" w:rsidR="001D2DAA" w:rsidRDefault="001D2DAA" w:rsidP="001D2DAA">
      <w:pPr>
        <w:rPr>
          <w:rFonts w:asciiTheme="majorHAnsi" w:hAnsiTheme="majorHAnsi" w:cstheme="majorHAnsi"/>
        </w:rPr>
      </w:pPr>
      <w:r>
        <w:rPr>
          <w:rFonts w:asciiTheme="majorHAnsi" w:hAnsiTheme="majorHAnsi" w:cstheme="majorHAnsi"/>
        </w:rPr>
        <w:br w:type="page"/>
      </w:r>
    </w:p>
    <w:p w14:paraId="681A65E7"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57C44EBF"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210DCA95"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29217DC3"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04E26E32"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7DAA2B28"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0446AA2D"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25FB3194"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30A9BB35"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7A7F9BD2"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0C89B0A4"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194A460B"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516DCBE4"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7C33D6FF"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6BCBE76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087A24EE"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50E77A54"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1C327B4F" w14:textId="77777777" w:rsidR="001D2DAA" w:rsidRPr="00977090" w:rsidRDefault="001D2DAA" w:rsidP="001D2DAA">
      <w:pPr>
        <w:pStyle w:val="Default"/>
        <w:rPr>
          <w:rFonts w:asciiTheme="majorHAnsi" w:hAnsiTheme="majorHAnsi" w:cstheme="majorHAnsi"/>
          <w:color w:val="auto"/>
          <w:sz w:val="22"/>
          <w:szCs w:val="22"/>
        </w:rPr>
      </w:pPr>
    </w:p>
    <w:p w14:paraId="57B13A4C" w14:textId="77777777" w:rsidR="009603B5" w:rsidRPr="006F53B6" w:rsidRDefault="009603B5" w:rsidP="006F53B6">
      <w:pPr>
        <w:spacing w:after="0"/>
        <w:jc w:val="both"/>
        <w:rPr>
          <w:rFonts w:asciiTheme="majorHAnsi" w:hAnsiTheme="majorHAnsi" w:cstheme="majorHAnsi"/>
        </w:rPr>
      </w:pPr>
      <w:r w:rsidRPr="006F53B6">
        <w:rPr>
          <w:rFonts w:asciiTheme="majorHAnsi" w:hAnsiTheme="majorHAnsi" w:cstheme="majorHAnsi"/>
        </w:rPr>
        <w:t xml:space="preserve">GE Healthcare </w:t>
      </w:r>
      <w:proofErr w:type="spellStart"/>
      <w:r w:rsidRPr="006F53B6">
        <w:rPr>
          <w:rFonts w:asciiTheme="majorHAnsi" w:hAnsiTheme="majorHAnsi" w:cstheme="majorHAnsi"/>
        </w:rPr>
        <w:t>lucrează</w:t>
      </w:r>
      <w:proofErr w:type="spellEnd"/>
      <w:r w:rsidRPr="006F53B6">
        <w:rPr>
          <w:rFonts w:asciiTheme="majorHAnsi" w:hAnsiTheme="majorHAnsi" w:cstheme="majorHAnsi"/>
        </w:rPr>
        <w:t xml:space="preserve"> cu </w:t>
      </w:r>
      <w:proofErr w:type="spellStart"/>
      <w:r w:rsidRPr="006F53B6">
        <w:rPr>
          <w:rFonts w:asciiTheme="majorHAnsi" w:hAnsiTheme="majorHAnsi" w:cstheme="majorHAnsi"/>
        </w:rPr>
        <w:t>furnizorii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săi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pentru</w:t>
      </w:r>
      <w:proofErr w:type="spellEnd"/>
      <w:r w:rsidRPr="006F53B6">
        <w:rPr>
          <w:rFonts w:asciiTheme="majorHAnsi" w:hAnsiTheme="majorHAnsi" w:cstheme="majorHAnsi"/>
        </w:rPr>
        <w:t xml:space="preserve"> </w:t>
      </w:r>
      <w:proofErr w:type="gramStart"/>
      <w:r w:rsidRPr="006F53B6">
        <w:rPr>
          <w:rFonts w:asciiTheme="majorHAnsi" w:hAnsiTheme="majorHAnsi" w:cstheme="majorHAnsi"/>
        </w:rPr>
        <w:t>a</w:t>
      </w:r>
      <w:proofErr w:type="gramEnd"/>
      <w:r w:rsidRPr="006F53B6">
        <w:rPr>
          <w:rFonts w:asciiTheme="majorHAnsi" w:hAnsiTheme="majorHAnsi" w:cstheme="majorHAnsi"/>
        </w:rPr>
        <w:t xml:space="preserve"> </w:t>
      </w:r>
      <w:proofErr w:type="spellStart"/>
      <w:r w:rsidRPr="006F53B6">
        <w:rPr>
          <w:rFonts w:asciiTheme="majorHAnsi" w:hAnsiTheme="majorHAnsi" w:cstheme="majorHAnsi"/>
        </w:rPr>
        <w:t>asigura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conformitatea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articolelor</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importate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sau</w:t>
      </w:r>
      <w:proofErr w:type="spellEnd"/>
      <w:r w:rsidRPr="006F53B6">
        <w:rPr>
          <w:rFonts w:asciiTheme="majorHAnsi" w:hAnsiTheme="majorHAnsi" w:cstheme="majorHAnsi"/>
        </w:rPr>
        <w:t xml:space="preserve"> fabricate </w:t>
      </w:r>
      <w:proofErr w:type="spellStart"/>
      <w:r w:rsidRPr="006F53B6">
        <w:rPr>
          <w:rFonts w:asciiTheme="majorHAnsi" w:hAnsiTheme="majorHAnsi" w:cstheme="majorHAnsi"/>
        </w:rPr>
        <w:t>în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Uniunea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Europeană</w:t>
      </w:r>
      <w:proofErr w:type="spellEnd"/>
      <w:r w:rsidRPr="006F53B6">
        <w:rPr>
          <w:rFonts w:asciiTheme="majorHAnsi" w:hAnsiTheme="majorHAnsi" w:cstheme="majorHAnsi"/>
        </w:rPr>
        <w:t xml:space="preserve"> care fac </w:t>
      </w:r>
      <w:proofErr w:type="spellStart"/>
      <w:r w:rsidRPr="006F53B6">
        <w:rPr>
          <w:rFonts w:asciiTheme="majorHAnsi" w:hAnsiTheme="majorHAnsi" w:cstheme="majorHAnsi"/>
        </w:rPr>
        <w:t>obiectul</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regulamentului</w:t>
      </w:r>
      <w:proofErr w:type="spellEnd"/>
      <w:r w:rsidRPr="006F53B6">
        <w:rPr>
          <w:rFonts w:asciiTheme="majorHAnsi" w:hAnsiTheme="majorHAnsi" w:cstheme="majorHAnsi"/>
        </w:rPr>
        <w:t xml:space="preserve"> REACH (CE-nr. 1907/2006), </w:t>
      </w:r>
      <w:proofErr w:type="spellStart"/>
      <w:r w:rsidRPr="006F53B6">
        <w:rPr>
          <w:rFonts w:asciiTheme="majorHAnsi" w:hAnsiTheme="majorHAnsi" w:cstheme="majorHAnsi"/>
        </w:rPr>
        <w:t>articolul</w:t>
      </w:r>
      <w:proofErr w:type="spellEnd"/>
      <w:r w:rsidRPr="006F53B6">
        <w:rPr>
          <w:rFonts w:asciiTheme="majorHAnsi" w:hAnsiTheme="majorHAnsi" w:cstheme="majorHAnsi"/>
        </w:rPr>
        <w:t xml:space="preserve"> 33, </w:t>
      </w:r>
      <w:proofErr w:type="spellStart"/>
      <w:r w:rsidRPr="006F53B6">
        <w:rPr>
          <w:rFonts w:asciiTheme="majorHAnsi" w:hAnsiTheme="majorHAnsi" w:cstheme="majorHAnsi"/>
        </w:rPr>
        <w:t>și</w:t>
      </w:r>
      <w:proofErr w:type="spellEnd"/>
      <w:r w:rsidRPr="006F53B6">
        <w:rPr>
          <w:rFonts w:asciiTheme="majorHAnsi" w:hAnsiTheme="majorHAnsi" w:cstheme="majorHAnsi"/>
        </w:rPr>
        <w:t xml:space="preserve"> care sunt </w:t>
      </w:r>
      <w:proofErr w:type="spellStart"/>
      <w:r w:rsidRPr="006F53B6">
        <w:rPr>
          <w:rFonts w:asciiTheme="majorHAnsi" w:hAnsiTheme="majorHAnsi" w:cstheme="majorHAnsi"/>
        </w:rPr>
        <w:t>utilizate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în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producția</w:t>
      </w:r>
      <w:proofErr w:type="spellEnd"/>
      <w:r w:rsidRPr="006F53B6">
        <w:rPr>
          <w:rFonts w:asciiTheme="majorHAnsi" w:hAnsiTheme="majorHAnsi" w:cstheme="majorHAnsi"/>
        </w:rPr>
        <w:t xml:space="preserve"> de </w:t>
      </w:r>
      <w:proofErr w:type="spellStart"/>
      <w:r w:rsidRPr="006F53B6">
        <w:rPr>
          <w:rFonts w:asciiTheme="majorHAnsi" w:hAnsiTheme="majorHAnsi" w:cstheme="majorHAnsi"/>
        </w:rPr>
        <w:t>produse</w:t>
      </w:r>
      <w:proofErr w:type="spellEnd"/>
      <w:r w:rsidRPr="006F53B6">
        <w:rPr>
          <w:rFonts w:asciiTheme="majorHAnsi" w:hAnsiTheme="majorHAnsi" w:cstheme="majorHAnsi"/>
        </w:rPr>
        <w:t xml:space="preserve"> GE Healthcare.</w:t>
      </w:r>
    </w:p>
    <w:p w14:paraId="45166314" w14:textId="77777777" w:rsidR="009603B5" w:rsidRPr="006F53B6" w:rsidRDefault="009603B5" w:rsidP="006F53B6">
      <w:pPr>
        <w:spacing w:after="0"/>
        <w:jc w:val="both"/>
        <w:rPr>
          <w:rFonts w:asciiTheme="majorHAnsi" w:hAnsiTheme="majorHAnsi" w:cstheme="majorHAnsi"/>
        </w:rPr>
      </w:pPr>
      <w:proofErr w:type="spellStart"/>
      <w:r w:rsidRPr="006F53B6">
        <w:rPr>
          <w:rFonts w:asciiTheme="majorHAnsi" w:hAnsiTheme="majorHAnsi" w:cstheme="majorHAnsi"/>
        </w:rPr>
        <w:t>În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ceea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ce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privește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aplicarea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articolului</w:t>
      </w:r>
      <w:proofErr w:type="spellEnd"/>
      <w:r w:rsidRPr="006F53B6">
        <w:rPr>
          <w:rFonts w:asciiTheme="majorHAnsi" w:hAnsiTheme="majorHAnsi" w:cstheme="majorHAnsi"/>
        </w:rPr>
        <w:t xml:space="preserve"> 33 din </w:t>
      </w:r>
      <w:proofErr w:type="spellStart"/>
      <w:r w:rsidRPr="006F53B6">
        <w:rPr>
          <w:rFonts w:asciiTheme="majorHAnsi" w:hAnsiTheme="majorHAnsi" w:cstheme="majorHAnsi"/>
        </w:rPr>
        <w:t>regulamentul</w:t>
      </w:r>
      <w:proofErr w:type="spellEnd"/>
      <w:r w:rsidRPr="006F53B6">
        <w:rPr>
          <w:rFonts w:asciiTheme="majorHAnsi" w:hAnsiTheme="majorHAnsi" w:cstheme="majorHAnsi"/>
        </w:rPr>
        <w:t xml:space="preserve"> REACH </w:t>
      </w:r>
      <w:proofErr w:type="spellStart"/>
      <w:r w:rsidRPr="006F53B6">
        <w:rPr>
          <w:rFonts w:asciiTheme="majorHAnsi" w:hAnsiTheme="majorHAnsi" w:cstheme="majorHAnsi"/>
        </w:rPr>
        <w:t>și</w:t>
      </w:r>
      <w:proofErr w:type="spellEnd"/>
      <w:r w:rsidRPr="006F53B6">
        <w:rPr>
          <w:rFonts w:asciiTheme="majorHAnsi" w:hAnsiTheme="majorHAnsi" w:cstheme="majorHAnsi"/>
        </w:rPr>
        <w:t xml:space="preserve"> </w:t>
      </w:r>
      <w:proofErr w:type="spellStart"/>
      <w:proofErr w:type="gramStart"/>
      <w:r w:rsidRPr="006F53B6">
        <w:rPr>
          <w:rFonts w:asciiTheme="majorHAnsi" w:hAnsiTheme="majorHAnsi" w:cstheme="majorHAnsi"/>
        </w:rPr>
        <w:t>publicarea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listei</w:t>
      </w:r>
      <w:proofErr w:type="spellEnd"/>
      <w:proofErr w:type="gramEnd"/>
      <w:r w:rsidRPr="006F53B6">
        <w:rPr>
          <w:rFonts w:asciiTheme="majorHAnsi" w:hAnsiTheme="majorHAnsi" w:cstheme="majorHAnsi"/>
        </w:rPr>
        <w:t xml:space="preserve"> de </w:t>
      </w:r>
      <w:proofErr w:type="spellStart"/>
      <w:r w:rsidRPr="006F53B6">
        <w:rPr>
          <w:rFonts w:asciiTheme="majorHAnsi" w:hAnsiTheme="majorHAnsi" w:cstheme="majorHAnsi"/>
        </w:rPr>
        <w:t>substanțe</w:t>
      </w:r>
      <w:proofErr w:type="spellEnd"/>
      <w:r w:rsidRPr="006F53B6">
        <w:rPr>
          <w:rFonts w:asciiTheme="majorHAnsi" w:hAnsiTheme="majorHAnsi" w:cstheme="majorHAnsi"/>
        </w:rPr>
        <w:t xml:space="preserve">  care </w:t>
      </w:r>
      <w:proofErr w:type="spellStart"/>
      <w:r w:rsidRPr="006F53B6">
        <w:rPr>
          <w:rFonts w:asciiTheme="majorHAnsi" w:hAnsiTheme="majorHAnsi" w:cstheme="majorHAnsi"/>
        </w:rPr>
        <w:t>prezintă</w:t>
      </w:r>
      <w:proofErr w:type="spellEnd"/>
      <w:r w:rsidRPr="006F53B6">
        <w:rPr>
          <w:rFonts w:asciiTheme="majorHAnsi" w:hAnsiTheme="majorHAnsi" w:cstheme="majorHAnsi"/>
        </w:rPr>
        <w:t xml:space="preserve"> motive de </w:t>
      </w:r>
      <w:proofErr w:type="spellStart"/>
      <w:r w:rsidRPr="006F53B6">
        <w:rPr>
          <w:rFonts w:asciiTheme="majorHAnsi" w:hAnsiTheme="majorHAnsi" w:cstheme="majorHAnsi"/>
        </w:rPr>
        <w:t>îngrijorare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deosebită</w:t>
      </w:r>
      <w:proofErr w:type="spellEnd"/>
      <w:r w:rsidRPr="006F53B6">
        <w:rPr>
          <w:rFonts w:asciiTheme="majorHAnsi" w:hAnsiTheme="majorHAnsi" w:cstheme="majorHAnsi"/>
        </w:rPr>
        <w:t xml:space="preserve"> (SVHC) </w:t>
      </w:r>
      <w:proofErr w:type="spellStart"/>
      <w:r w:rsidRPr="006F53B6">
        <w:rPr>
          <w:rFonts w:asciiTheme="majorHAnsi" w:hAnsiTheme="majorHAnsi" w:cstheme="majorHAnsi"/>
        </w:rPr>
        <w:t>în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conformitate</w:t>
      </w:r>
      <w:proofErr w:type="spellEnd"/>
      <w:r w:rsidRPr="006F53B6">
        <w:rPr>
          <w:rFonts w:asciiTheme="majorHAnsi" w:hAnsiTheme="majorHAnsi" w:cstheme="majorHAnsi"/>
        </w:rPr>
        <w:t xml:space="preserve"> cu </w:t>
      </w:r>
      <w:proofErr w:type="spellStart"/>
      <w:r w:rsidRPr="006F53B6">
        <w:rPr>
          <w:rFonts w:asciiTheme="majorHAnsi" w:hAnsiTheme="majorHAnsi" w:cstheme="majorHAnsi"/>
        </w:rPr>
        <w:t>articolul</w:t>
      </w:r>
      <w:proofErr w:type="spellEnd"/>
      <w:r w:rsidRPr="006F53B6">
        <w:rPr>
          <w:rFonts w:asciiTheme="majorHAnsi" w:hAnsiTheme="majorHAnsi" w:cstheme="majorHAnsi"/>
        </w:rPr>
        <w:t xml:space="preserve"> 59 din </w:t>
      </w:r>
      <w:proofErr w:type="spellStart"/>
      <w:r w:rsidRPr="006F53B6">
        <w:rPr>
          <w:rFonts w:asciiTheme="majorHAnsi" w:hAnsiTheme="majorHAnsi" w:cstheme="majorHAnsi"/>
        </w:rPr>
        <w:t>regulamentul</w:t>
      </w:r>
      <w:proofErr w:type="spellEnd"/>
      <w:r w:rsidRPr="006F53B6">
        <w:rPr>
          <w:rFonts w:asciiTheme="majorHAnsi" w:hAnsiTheme="majorHAnsi" w:cstheme="majorHAnsi"/>
        </w:rPr>
        <w:t xml:space="preserve"> REACH, GE Healthcare are </w:t>
      </w:r>
      <w:proofErr w:type="spellStart"/>
      <w:r w:rsidRPr="006F53B6">
        <w:rPr>
          <w:rFonts w:asciiTheme="majorHAnsi" w:hAnsiTheme="majorHAnsi" w:cstheme="majorHAnsi"/>
        </w:rPr>
        <w:t>cunoștință</w:t>
      </w:r>
      <w:proofErr w:type="spellEnd"/>
      <w:r w:rsidRPr="006F53B6">
        <w:rPr>
          <w:rFonts w:asciiTheme="majorHAnsi" w:hAnsiTheme="majorHAnsi" w:cstheme="majorHAnsi"/>
        </w:rPr>
        <w:t xml:space="preserve"> de </w:t>
      </w:r>
      <w:proofErr w:type="spellStart"/>
      <w:r w:rsidRPr="006F53B6">
        <w:rPr>
          <w:rFonts w:asciiTheme="majorHAnsi" w:hAnsiTheme="majorHAnsi" w:cstheme="majorHAnsi"/>
        </w:rPr>
        <w:t>obligațiile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legale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și</w:t>
      </w:r>
      <w:proofErr w:type="spellEnd"/>
      <w:r w:rsidRPr="006F53B6">
        <w:rPr>
          <w:rFonts w:asciiTheme="majorHAnsi" w:hAnsiTheme="majorHAnsi" w:cstheme="majorHAnsi"/>
        </w:rPr>
        <w:t xml:space="preserve"> le </w:t>
      </w:r>
      <w:proofErr w:type="spellStart"/>
      <w:r w:rsidRPr="006F53B6">
        <w:rPr>
          <w:rFonts w:asciiTheme="majorHAnsi" w:hAnsiTheme="majorHAnsi" w:cstheme="majorHAnsi"/>
        </w:rPr>
        <w:t>va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respecta</w:t>
      </w:r>
      <w:proofErr w:type="spellEnd"/>
      <w:r w:rsidRPr="006F53B6">
        <w:rPr>
          <w:rFonts w:asciiTheme="majorHAnsi" w:hAnsiTheme="majorHAnsi" w:cstheme="majorHAnsi"/>
        </w:rPr>
        <w:t>.</w:t>
      </w:r>
    </w:p>
    <w:p w14:paraId="06E3DE92" w14:textId="08184458" w:rsidR="009603B5" w:rsidRPr="006F53B6" w:rsidRDefault="009603B5" w:rsidP="006F53B6">
      <w:pPr>
        <w:spacing w:after="0"/>
        <w:jc w:val="both"/>
        <w:rPr>
          <w:rFonts w:asciiTheme="majorHAnsi" w:hAnsiTheme="majorHAnsi" w:cstheme="majorHAnsi"/>
        </w:rPr>
      </w:pPr>
      <w:proofErr w:type="spellStart"/>
      <w:r w:rsidRPr="006F53B6">
        <w:rPr>
          <w:rFonts w:asciiTheme="majorHAnsi" w:hAnsiTheme="majorHAnsi" w:cstheme="majorHAnsi"/>
        </w:rPr>
        <w:t>Articolele</w:t>
      </w:r>
      <w:proofErr w:type="spellEnd"/>
      <w:r w:rsidRPr="006F53B6">
        <w:rPr>
          <w:rFonts w:asciiTheme="majorHAnsi" w:hAnsiTheme="majorHAnsi" w:cstheme="majorHAnsi"/>
        </w:rPr>
        <w:t xml:space="preserve"> GE Healthcare nu </w:t>
      </w:r>
      <w:proofErr w:type="spellStart"/>
      <w:r w:rsidRPr="006F53B6">
        <w:rPr>
          <w:rFonts w:asciiTheme="majorHAnsi" w:hAnsiTheme="majorHAnsi" w:cstheme="majorHAnsi"/>
        </w:rPr>
        <w:t>eliberează</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în</w:t>
      </w:r>
      <w:proofErr w:type="spellEnd"/>
      <w:r w:rsidRPr="006F53B6">
        <w:rPr>
          <w:rFonts w:asciiTheme="majorHAnsi" w:hAnsiTheme="majorHAnsi" w:cstheme="majorHAnsi"/>
        </w:rPr>
        <w:t xml:space="preserve"> mod </w:t>
      </w:r>
      <w:proofErr w:type="spellStart"/>
      <w:r w:rsidRPr="006F53B6">
        <w:rPr>
          <w:rFonts w:asciiTheme="majorHAnsi" w:hAnsiTheme="majorHAnsi" w:cstheme="majorHAnsi"/>
        </w:rPr>
        <w:t>intenționat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substanțele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în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condiții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normale</w:t>
      </w:r>
      <w:proofErr w:type="spellEnd"/>
      <w:r w:rsidRPr="006F53B6">
        <w:rPr>
          <w:rFonts w:asciiTheme="majorHAnsi" w:hAnsiTheme="majorHAnsi" w:cstheme="majorHAnsi"/>
        </w:rPr>
        <w:t xml:space="preserve"> de </w:t>
      </w:r>
      <w:proofErr w:type="spellStart"/>
      <w:r w:rsidRPr="006F53B6">
        <w:rPr>
          <w:rFonts w:asciiTheme="majorHAnsi" w:hAnsiTheme="majorHAnsi" w:cstheme="majorHAnsi"/>
        </w:rPr>
        <w:t>utilizare</w:t>
      </w:r>
      <w:proofErr w:type="spellEnd"/>
      <w:r w:rsidRPr="006F53B6">
        <w:rPr>
          <w:rFonts w:asciiTheme="majorHAnsi" w:hAnsiTheme="majorHAnsi" w:cstheme="majorHAnsi"/>
        </w:rPr>
        <w:t>.</w:t>
      </w:r>
    </w:p>
    <w:p w14:paraId="6EDE3485" w14:textId="4C4B07C4" w:rsidR="001D2DAA" w:rsidRPr="006F53B6" w:rsidRDefault="009344EB" w:rsidP="006F53B6">
      <w:pPr>
        <w:spacing w:after="0"/>
        <w:jc w:val="both"/>
        <w:rPr>
          <w:rFonts w:asciiTheme="majorHAnsi" w:hAnsiTheme="majorHAnsi" w:cstheme="majorHAnsi"/>
        </w:rPr>
      </w:pPr>
      <w:r w:rsidRPr="006F53B6">
        <w:rPr>
          <w:rFonts w:asciiTheme="majorHAnsi" w:hAnsiTheme="majorHAnsi" w:cstheme="majorHAnsi"/>
        </w:rPr>
        <w:t xml:space="preserve">Pe </w:t>
      </w:r>
      <w:proofErr w:type="spellStart"/>
      <w:r w:rsidRPr="006F53B6">
        <w:rPr>
          <w:rFonts w:asciiTheme="majorHAnsi" w:hAnsiTheme="majorHAnsi" w:cstheme="majorHAnsi"/>
        </w:rPr>
        <w:t>baza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informațiilor</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oferite</w:t>
      </w:r>
      <w:proofErr w:type="spellEnd"/>
      <w:r w:rsidRPr="006F53B6">
        <w:rPr>
          <w:rFonts w:asciiTheme="majorHAnsi" w:hAnsiTheme="majorHAnsi" w:cstheme="majorHAnsi"/>
        </w:rPr>
        <w:t xml:space="preserve"> de </w:t>
      </w:r>
      <w:proofErr w:type="spellStart"/>
      <w:r w:rsidRPr="006F53B6">
        <w:rPr>
          <w:rFonts w:asciiTheme="majorHAnsi" w:hAnsiTheme="majorHAnsi" w:cstheme="majorHAnsi"/>
        </w:rPr>
        <w:t>furnizorii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noștri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până</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în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prezent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aceste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substanțe</w:t>
      </w:r>
      <w:proofErr w:type="spellEnd"/>
      <w:r w:rsidRPr="006F53B6">
        <w:rPr>
          <w:rFonts w:asciiTheme="majorHAnsi" w:hAnsiTheme="majorHAnsi" w:cstheme="majorHAnsi"/>
        </w:rPr>
        <w:t xml:space="preserve"> sunt </w:t>
      </w:r>
      <w:proofErr w:type="spellStart"/>
      <w:r w:rsidRPr="006F53B6">
        <w:rPr>
          <w:rFonts w:asciiTheme="majorHAnsi" w:hAnsiTheme="majorHAnsi" w:cstheme="majorHAnsi"/>
        </w:rPr>
        <w:t>prezente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în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următoarele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produse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într</w:t>
      </w:r>
      <w:proofErr w:type="spellEnd"/>
      <w:r w:rsidRPr="006F53B6">
        <w:rPr>
          <w:rFonts w:asciiTheme="majorHAnsi" w:hAnsiTheme="majorHAnsi" w:cstheme="majorHAnsi"/>
        </w:rPr>
        <w:t xml:space="preserve">-o </w:t>
      </w:r>
      <w:proofErr w:type="spellStart"/>
      <w:r w:rsidRPr="006F53B6">
        <w:rPr>
          <w:rFonts w:asciiTheme="majorHAnsi" w:hAnsiTheme="majorHAnsi" w:cstheme="majorHAnsi"/>
        </w:rPr>
        <w:t>concentrație</w:t>
      </w:r>
      <w:proofErr w:type="spellEnd"/>
      <w:r w:rsidRPr="006F53B6">
        <w:rPr>
          <w:rFonts w:asciiTheme="majorHAnsi" w:hAnsiTheme="majorHAnsi" w:cstheme="majorHAnsi"/>
        </w:rPr>
        <w:t xml:space="preserve"> care </w:t>
      </w:r>
      <w:proofErr w:type="spellStart"/>
      <w:r w:rsidRPr="006F53B6">
        <w:rPr>
          <w:rFonts w:asciiTheme="majorHAnsi" w:hAnsiTheme="majorHAnsi" w:cstheme="majorHAnsi"/>
        </w:rPr>
        <w:t>poate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să</w:t>
      </w:r>
      <w:proofErr w:type="spellEnd"/>
      <w:r w:rsidRPr="006F53B6">
        <w:rPr>
          <w:rFonts w:asciiTheme="majorHAnsi" w:hAnsiTheme="majorHAnsi" w:cstheme="majorHAnsi"/>
        </w:rPr>
        <w:t xml:space="preserve"> fie </w:t>
      </w:r>
      <w:proofErr w:type="spellStart"/>
      <w:r w:rsidRPr="006F53B6">
        <w:rPr>
          <w:rFonts w:asciiTheme="majorHAnsi" w:hAnsiTheme="majorHAnsi" w:cstheme="majorHAnsi"/>
        </w:rPr>
        <w:t>mai</w:t>
      </w:r>
      <w:proofErr w:type="spellEnd"/>
      <w:r w:rsidRPr="006F53B6">
        <w:rPr>
          <w:rFonts w:asciiTheme="majorHAnsi" w:hAnsiTheme="majorHAnsi" w:cstheme="majorHAnsi"/>
        </w:rPr>
        <w:t xml:space="preserve"> mare </w:t>
      </w:r>
      <w:proofErr w:type="spellStart"/>
      <w:r w:rsidRPr="006F53B6">
        <w:rPr>
          <w:rFonts w:asciiTheme="majorHAnsi" w:hAnsiTheme="majorHAnsi" w:cstheme="majorHAnsi"/>
        </w:rPr>
        <w:t>decât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pragul</w:t>
      </w:r>
      <w:proofErr w:type="spellEnd"/>
      <w:r w:rsidRPr="006F53B6">
        <w:rPr>
          <w:rFonts w:asciiTheme="majorHAnsi" w:hAnsiTheme="majorHAnsi" w:cstheme="majorHAnsi"/>
        </w:rPr>
        <w:t xml:space="preserve"> de 0,1% (</w:t>
      </w:r>
      <w:proofErr w:type="spellStart"/>
      <w:r w:rsidRPr="006F53B6">
        <w:rPr>
          <w:rFonts w:asciiTheme="majorHAnsi" w:hAnsiTheme="majorHAnsi" w:cstheme="majorHAnsi"/>
        </w:rPr>
        <w:t>în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greutate</w:t>
      </w:r>
      <w:proofErr w:type="spellEnd"/>
      <w:r w:rsidRPr="006F53B6">
        <w:rPr>
          <w:rFonts w:asciiTheme="majorHAnsi" w:hAnsiTheme="majorHAnsi" w:cstheme="majorHAnsi"/>
        </w:rPr>
        <w:t xml:space="preserve">) la </w:t>
      </w:r>
      <w:proofErr w:type="spellStart"/>
      <w:r w:rsidRPr="006F53B6">
        <w:rPr>
          <w:rFonts w:asciiTheme="majorHAnsi" w:hAnsiTheme="majorHAnsi" w:cstheme="majorHAnsi"/>
        </w:rPr>
        <w:t>nivelul</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articolului</w:t>
      </w:r>
      <w:proofErr w:type="spellEnd"/>
      <w:r w:rsidRPr="006F53B6">
        <w:rPr>
          <w:rFonts w:asciiTheme="majorHAnsi" w:hAnsiTheme="majorHAnsi" w:cstheme="majorHAnsi"/>
        </w:rPr>
        <w:t>:</w:t>
      </w:r>
    </w:p>
    <w:p w14:paraId="5D91B5F8" w14:textId="77777777" w:rsidR="009603B5" w:rsidRPr="006706BE" w:rsidRDefault="009603B5" w:rsidP="009603B5">
      <w:pPr>
        <w:rPr>
          <w:rFonts w:asciiTheme="majorHAnsi" w:hAnsiTheme="majorHAnsi" w:cstheme="majorHAnsi"/>
          <w:color w:val="ED7D31" w:themeColor="accent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646CC919" w14:textId="77777777" w:rsidTr="00636C30">
        <w:trPr>
          <w:trHeight w:val="290"/>
        </w:trPr>
        <w:tc>
          <w:tcPr>
            <w:tcW w:w="1413" w:type="dxa"/>
            <w:noWrap/>
          </w:tcPr>
          <w:p w14:paraId="39FEDB69" w14:textId="77777777" w:rsidR="001D2DAA" w:rsidRPr="006F53B6" w:rsidRDefault="009603B5"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Numele</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produsului</w:t>
            </w:r>
            <w:proofErr w:type="spellEnd"/>
          </w:p>
        </w:tc>
        <w:tc>
          <w:tcPr>
            <w:tcW w:w="5953" w:type="dxa"/>
          </w:tcPr>
          <w:p w14:paraId="01342FB4" w14:textId="77777777" w:rsidR="001D2DAA" w:rsidRPr="006F53B6" w:rsidRDefault="009603B5"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Denumirea</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substanței</w:t>
            </w:r>
            <w:proofErr w:type="spellEnd"/>
          </w:p>
        </w:tc>
        <w:tc>
          <w:tcPr>
            <w:tcW w:w="1696" w:type="dxa"/>
          </w:tcPr>
          <w:p w14:paraId="4A16B6BA" w14:textId="77777777" w:rsidR="001D2DAA" w:rsidRPr="006F53B6" w:rsidRDefault="009603B5" w:rsidP="005A2C7D">
            <w:pPr>
              <w:spacing w:after="0" w:line="240" w:lineRule="auto"/>
              <w:rPr>
                <w:rFonts w:asciiTheme="majorHAnsi" w:hAnsiTheme="majorHAnsi" w:cstheme="majorHAnsi"/>
                <w:b/>
                <w:bCs/>
                <w:lang w:val="fr-FR"/>
              </w:rPr>
            </w:pPr>
            <w:r w:rsidRPr="006F53B6">
              <w:rPr>
                <w:rFonts w:asciiTheme="majorHAnsi" w:hAnsiTheme="majorHAnsi" w:cstheme="majorHAnsi"/>
                <w:b/>
                <w:bCs/>
                <w:lang w:val="fr-FR"/>
              </w:rPr>
              <w:t>Nr. CAS</w:t>
            </w:r>
          </w:p>
        </w:tc>
      </w:tr>
      <w:tr w:rsidR="00A751C7" w:rsidRPr="00B93A55" w14:paraId="7CE6A09A" w14:textId="77777777" w:rsidTr="003E41E7">
        <w:trPr>
          <w:trHeight w:val="290"/>
        </w:trPr>
        <w:tc>
          <w:tcPr>
            <w:tcW w:w="9062" w:type="dxa"/>
            <w:gridSpan w:val="3"/>
            <w:noWrap/>
          </w:tcPr>
          <w:p w14:paraId="24E83FDC"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0C436994" w14:textId="77777777" w:rsidTr="003E41E7">
        <w:trPr>
          <w:trHeight w:val="290"/>
        </w:trPr>
        <w:tc>
          <w:tcPr>
            <w:tcW w:w="1413" w:type="dxa"/>
            <w:noWrap/>
            <w:hideMark/>
          </w:tcPr>
          <w:p w14:paraId="36AC314D"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06EC2C7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D72B4B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48C728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B1283E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05B0D1C"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5012BCF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9E9439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4D330E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508E71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1971668"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2BF615B2" w14:textId="77777777" w:rsidTr="003E41E7">
        <w:trPr>
          <w:trHeight w:val="1448"/>
        </w:trPr>
        <w:tc>
          <w:tcPr>
            <w:tcW w:w="1413" w:type="dxa"/>
            <w:noWrap/>
            <w:hideMark/>
          </w:tcPr>
          <w:p w14:paraId="1136056C"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607AAB9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D16ACC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9EE589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7C9184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8B4646E"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1B7DC29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29F645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7D921A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FEC67B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B53E147"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2E1B1427" w14:textId="77777777" w:rsidTr="003E41E7">
        <w:trPr>
          <w:trHeight w:val="290"/>
        </w:trPr>
        <w:tc>
          <w:tcPr>
            <w:tcW w:w="1413" w:type="dxa"/>
            <w:noWrap/>
            <w:hideMark/>
          </w:tcPr>
          <w:p w14:paraId="1AAB0A49"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2EB643F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15A7CC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7729A0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28C5C1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DB655EC"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270AF79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AC9C9F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A565F6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E96B55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6B73939"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529E2FAB" w14:textId="77777777" w:rsidTr="003E41E7">
        <w:trPr>
          <w:trHeight w:val="290"/>
        </w:trPr>
        <w:tc>
          <w:tcPr>
            <w:tcW w:w="9062" w:type="dxa"/>
            <w:gridSpan w:val="3"/>
            <w:noWrap/>
          </w:tcPr>
          <w:p w14:paraId="5FE0EAD7"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348C0DE1"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19978CBD"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65FEEB6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F9A9A5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9203BC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4A2D78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63233E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0EFDD5B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3AFBF10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E5A211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2B5164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82452DF"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7DB2BD39"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BFD348C"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3BD5C77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351C33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2BB34E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2E8670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8C5D98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936E34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9BA602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E07A2F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602CB4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43C05AE"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35F84805"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D122BD1"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4D27D15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0B97877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F35DB2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024E34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22FBD3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C799C3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06B22F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929D3B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4AC203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A5BFCA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0E7B837F"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10EFA7E2"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55084831"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39C65765"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09137E22"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4BDA99EB"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1C4FB5B9"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8FB3C85"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194D8AA4"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4ECC84A0"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1708E02B"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4A8C96A1"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7643AC88"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33704CEB"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18E8B0F3"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1D3EE375"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10A8B15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2A7DBB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CA4495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59EEE0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D1EE8A5"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55CFFB4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6E6A31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90B5ED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442C58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0A1DC3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C8AC91A"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2351EC7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5418A158"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1D92475"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72586F9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5BE2B4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B8F35C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010191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49E9D54"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04069EE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0D0A88F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8343F8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776A7F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E167AD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F741261"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42F1DF84"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562F5EBF"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FF2975E"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28A5C84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B01A23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8B9D27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BCB9351"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BDF68D6"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34C5AE7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1EC3B59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51A6D4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1DFD7B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363A940"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160DC63"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4BF3772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499B1426" w14:textId="77777777" w:rsidR="00636C30" w:rsidRDefault="00636C30" w:rsidP="00636C30">
      <w:pPr>
        <w:rPr>
          <w:rFonts w:asciiTheme="majorHAnsi" w:hAnsiTheme="majorHAnsi" w:cstheme="majorHAnsi"/>
        </w:rPr>
      </w:pPr>
    </w:p>
    <w:p w14:paraId="298CC372" w14:textId="77777777" w:rsidR="001D2DAA" w:rsidRDefault="001D2DAA" w:rsidP="001D2DAA">
      <w:pPr>
        <w:rPr>
          <w:rFonts w:asciiTheme="majorHAnsi" w:hAnsiTheme="majorHAnsi" w:cstheme="majorHAnsi"/>
        </w:rPr>
      </w:pPr>
    </w:p>
    <w:p w14:paraId="1832BED7" w14:textId="77777777" w:rsidR="001D2DAA" w:rsidRDefault="001D2DAA" w:rsidP="001D2DAA">
      <w:pPr>
        <w:rPr>
          <w:rFonts w:asciiTheme="majorHAnsi" w:hAnsiTheme="majorHAnsi" w:cstheme="majorHAnsi"/>
        </w:rPr>
      </w:pPr>
      <w:r>
        <w:rPr>
          <w:rFonts w:asciiTheme="majorHAnsi" w:hAnsiTheme="majorHAnsi" w:cstheme="majorHAnsi"/>
        </w:rPr>
        <w:br w:type="page"/>
      </w:r>
    </w:p>
    <w:p w14:paraId="55E90BFF"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687E1CF6"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4929F5B7"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69C439FB"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27F13D7C"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6CD075B7"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1440EC1D"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19AEC71D"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61196E50"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27A9D78B"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39BEB93A"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64D4B5B8"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4F4C30E7"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38FCFEB0"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5CC36793"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4F6950B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164B3070"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1BA9603B" w14:textId="77777777" w:rsidR="001D2DAA" w:rsidRPr="00977090" w:rsidRDefault="001D2DAA" w:rsidP="001D2DAA">
      <w:pPr>
        <w:pStyle w:val="Default"/>
        <w:rPr>
          <w:rFonts w:asciiTheme="majorHAnsi" w:hAnsiTheme="majorHAnsi" w:cstheme="majorHAnsi"/>
          <w:color w:val="auto"/>
          <w:sz w:val="22"/>
          <w:szCs w:val="22"/>
        </w:rPr>
      </w:pPr>
    </w:p>
    <w:p w14:paraId="4BDD8A87" w14:textId="77777777" w:rsidR="005A7B56" w:rsidRPr="006F53B6" w:rsidRDefault="005A7B56" w:rsidP="006F53B6">
      <w:pPr>
        <w:spacing w:after="0"/>
        <w:jc w:val="both"/>
        <w:rPr>
          <w:rFonts w:asciiTheme="majorHAnsi" w:hAnsiTheme="majorHAnsi" w:cstheme="majorHAnsi"/>
        </w:rPr>
      </w:pPr>
      <w:proofErr w:type="spellStart"/>
      <w:r w:rsidRPr="006F53B6">
        <w:rPr>
          <w:rFonts w:asciiTheme="majorHAnsi" w:hAnsiTheme="majorHAnsi" w:cstheme="majorHAnsi"/>
        </w:rPr>
        <w:t>Spoločnosť</w:t>
      </w:r>
      <w:proofErr w:type="spellEnd"/>
      <w:r w:rsidRPr="006F53B6">
        <w:rPr>
          <w:rFonts w:asciiTheme="majorHAnsi" w:hAnsiTheme="majorHAnsi" w:cstheme="majorHAnsi"/>
        </w:rPr>
        <w:t xml:space="preserve"> GE Healthcare </w:t>
      </w:r>
      <w:proofErr w:type="spellStart"/>
      <w:r w:rsidRPr="006F53B6">
        <w:rPr>
          <w:rFonts w:asciiTheme="majorHAnsi" w:hAnsiTheme="majorHAnsi" w:cstheme="majorHAnsi"/>
        </w:rPr>
        <w:t>spolupracuje</w:t>
      </w:r>
      <w:proofErr w:type="spellEnd"/>
      <w:r w:rsidRPr="006F53B6">
        <w:rPr>
          <w:rFonts w:asciiTheme="majorHAnsi" w:hAnsiTheme="majorHAnsi" w:cstheme="majorHAnsi"/>
        </w:rPr>
        <w:t xml:space="preserve"> so </w:t>
      </w:r>
      <w:proofErr w:type="spellStart"/>
      <w:r w:rsidRPr="006F53B6">
        <w:rPr>
          <w:rFonts w:asciiTheme="majorHAnsi" w:hAnsiTheme="majorHAnsi" w:cstheme="majorHAnsi"/>
        </w:rPr>
        <w:t>svojimi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dodávateľmi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zabezpečení</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zhody</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výrobkov</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dovážaných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alebo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vyrábaných</w:t>
      </w:r>
      <w:proofErr w:type="spellEnd"/>
      <w:r w:rsidRPr="006F53B6">
        <w:rPr>
          <w:rFonts w:asciiTheme="majorHAnsi" w:hAnsiTheme="majorHAnsi" w:cstheme="majorHAnsi"/>
        </w:rPr>
        <w:t xml:space="preserve"> v </w:t>
      </w:r>
      <w:proofErr w:type="spellStart"/>
      <w:r w:rsidRPr="006F53B6">
        <w:rPr>
          <w:rFonts w:asciiTheme="majorHAnsi" w:hAnsiTheme="majorHAnsi" w:cstheme="majorHAnsi"/>
        </w:rPr>
        <w:t>Európskej</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únii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ktoré</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vzťahuje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nariadenie</w:t>
      </w:r>
      <w:proofErr w:type="spellEnd"/>
      <w:r w:rsidRPr="006F53B6">
        <w:rPr>
          <w:rFonts w:asciiTheme="majorHAnsi" w:hAnsiTheme="majorHAnsi" w:cstheme="majorHAnsi"/>
        </w:rPr>
        <w:t xml:space="preserve"> REACH (ES – č. 1907/2006), </w:t>
      </w:r>
      <w:proofErr w:type="spellStart"/>
      <w:r w:rsidRPr="006F53B6">
        <w:rPr>
          <w:rFonts w:asciiTheme="majorHAnsi" w:hAnsiTheme="majorHAnsi" w:cstheme="majorHAnsi"/>
        </w:rPr>
        <w:t>článok</w:t>
      </w:r>
      <w:proofErr w:type="spellEnd"/>
      <w:r w:rsidRPr="006F53B6">
        <w:rPr>
          <w:rFonts w:asciiTheme="majorHAnsi" w:hAnsiTheme="majorHAnsi" w:cstheme="majorHAnsi"/>
        </w:rPr>
        <w:t xml:space="preserve"> 33, a </w:t>
      </w:r>
      <w:proofErr w:type="spellStart"/>
      <w:r w:rsidRPr="006F53B6">
        <w:rPr>
          <w:rFonts w:asciiTheme="majorHAnsi" w:hAnsiTheme="majorHAnsi" w:cstheme="majorHAnsi"/>
        </w:rPr>
        <w:t>ktoré</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používajú</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výrobe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produktov</w:t>
      </w:r>
      <w:proofErr w:type="spellEnd"/>
      <w:r w:rsidRPr="006F53B6">
        <w:rPr>
          <w:rFonts w:asciiTheme="majorHAnsi" w:hAnsiTheme="majorHAnsi" w:cstheme="majorHAnsi"/>
        </w:rPr>
        <w:t xml:space="preserve"> GE Healthcare. </w:t>
      </w:r>
    </w:p>
    <w:p w14:paraId="0D1847BF" w14:textId="77777777" w:rsidR="005A7B56" w:rsidRPr="006F53B6" w:rsidRDefault="005A7B56" w:rsidP="006F53B6">
      <w:pPr>
        <w:spacing w:after="0"/>
        <w:jc w:val="both"/>
        <w:rPr>
          <w:rFonts w:asciiTheme="majorHAnsi" w:hAnsiTheme="majorHAnsi" w:cstheme="majorHAnsi"/>
        </w:rPr>
      </w:pPr>
      <w:proofErr w:type="spellStart"/>
      <w:r w:rsidRPr="006F53B6">
        <w:rPr>
          <w:rFonts w:asciiTheme="majorHAnsi" w:hAnsiTheme="majorHAnsi" w:cstheme="majorHAnsi"/>
        </w:rPr>
        <w:t>Pokiaľ</w:t>
      </w:r>
      <w:proofErr w:type="spellEnd"/>
      <w:r w:rsidRPr="006F53B6">
        <w:rPr>
          <w:rFonts w:asciiTheme="majorHAnsi" w:hAnsiTheme="majorHAnsi" w:cstheme="majorHAnsi"/>
        </w:rPr>
        <w:t xml:space="preserve"> ide o </w:t>
      </w:r>
      <w:proofErr w:type="spellStart"/>
      <w:r w:rsidRPr="006F53B6">
        <w:rPr>
          <w:rFonts w:asciiTheme="majorHAnsi" w:hAnsiTheme="majorHAnsi" w:cstheme="majorHAnsi"/>
        </w:rPr>
        <w:t>uplatňovanie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článku</w:t>
      </w:r>
      <w:proofErr w:type="spellEnd"/>
      <w:r w:rsidRPr="006F53B6">
        <w:rPr>
          <w:rFonts w:asciiTheme="majorHAnsi" w:hAnsiTheme="majorHAnsi" w:cstheme="majorHAnsi"/>
        </w:rPr>
        <w:t xml:space="preserve"> 33 </w:t>
      </w:r>
      <w:proofErr w:type="spellStart"/>
      <w:r w:rsidRPr="006F53B6">
        <w:rPr>
          <w:rFonts w:asciiTheme="majorHAnsi" w:hAnsiTheme="majorHAnsi" w:cstheme="majorHAnsi"/>
        </w:rPr>
        <w:t>nariadenia</w:t>
      </w:r>
      <w:proofErr w:type="spellEnd"/>
      <w:r w:rsidRPr="006F53B6">
        <w:rPr>
          <w:rFonts w:asciiTheme="majorHAnsi" w:hAnsiTheme="majorHAnsi" w:cstheme="majorHAnsi"/>
        </w:rPr>
        <w:t xml:space="preserve"> REACH a </w:t>
      </w:r>
      <w:proofErr w:type="spellStart"/>
      <w:r w:rsidRPr="006F53B6">
        <w:rPr>
          <w:rFonts w:asciiTheme="majorHAnsi" w:hAnsiTheme="majorHAnsi" w:cstheme="majorHAnsi"/>
        </w:rPr>
        <w:t>zverejnenie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zoznamu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navrhovaných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látok</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vzbudzujúcich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veľmi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veľké</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obavy</w:t>
      </w:r>
      <w:proofErr w:type="spellEnd"/>
      <w:r w:rsidRPr="006F53B6">
        <w:rPr>
          <w:rFonts w:asciiTheme="majorHAnsi" w:hAnsiTheme="majorHAnsi" w:cstheme="majorHAnsi"/>
        </w:rPr>
        <w:t xml:space="preserve"> (SVHC) </w:t>
      </w:r>
      <w:proofErr w:type="spellStart"/>
      <w:r w:rsidRPr="006F53B6">
        <w:rPr>
          <w:rFonts w:asciiTheme="majorHAnsi" w:hAnsiTheme="majorHAnsi" w:cstheme="majorHAnsi"/>
        </w:rPr>
        <w:t>podľa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článku</w:t>
      </w:r>
      <w:proofErr w:type="spellEnd"/>
      <w:r w:rsidRPr="006F53B6">
        <w:rPr>
          <w:rFonts w:asciiTheme="majorHAnsi" w:hAnsiTheme="majorHAnsi" w:cstheme="majorHAnsi"/>
        </w:rPr>
        <w:t xml:space="preserve"> 59 </w:t>
      </w:r>
      <w:proofErr w:type="spellStart"/>
      <w:r w:rsidRPr="006F53B6">
        <w:rPr>
          <w:rFonts w:asciiTheme="majorHAnsi" w:hAnsiTheme="majorHAnsi" w:cstheme="majorHAnsi"/>
        </w:rPr>
        <w:t>nariadenia</w:t>
      </w:r>
      <w:proofErr w:type="spellEnd"/>
      <w:r w:rsidRPr="006F53B6">
        <w:rPr>
          <w:rFonts w:asciiTheme="majorHAnsi" w:hAnsiTheme="majorHAnsi" w:cstheme="majorHAnsi"/>
        </w:rPr>
        <w:t xml:space="preserve"> REACH, </w:t>
      </w:r>
      <w:proofErr w:type="spellStart"/>
      <w:r w:rsidRPr="006F53B6">
        <w:rPr>
          <w:rFonts w:asciiTheme="majorHAnsi" w:hAnsiTheme="majorHAnsi" w:cstheme="majorHAnsi"/>
        </w:rPr>
        <w:t>spoločnosť</w:t>
      </w:r>
      <w:proofErr w:type="spellEnd"/>
      <w:r w:rsidRPr="006F53B6">
        <w:rPr>
          <w:rFonts w:asciiTheme="majorHAnsi" w:hAnsiTheme="majorHAnsi" w:cstheme="majorHAnsi"/>
        </w:rPr>
        <w:t xml:space="preserve"> GE Healthcare </w:t>
      </w:r>
      <w:proofErr w:type="spellStart"/>
      <w:r w:rsidRPr="006F53B6">
        <w:rPr>
          <w:rFonts w:asciiTheme="majorHAnsi" w:hAnsiTheme="majorHAnsi" w:cstheme="majorHAnsi"/>
        </w:rPr>
        <w:t>si</w:t>
      </w:r>
      <w:proofErr w:type="spellEnd"/>
      <w:r w:rsidRPr="006F53B6">
        <w:rPr>
          <w:rFonts w:asciiTheme="majorHAnsi" w:hAnsiTheme="majorHAnsi" w:cstheme="majorHAnsi"/>
        </w:rPr>
        <w:t xml:space="preserve"> je </w:t>
      </w:r>
      <w:proofErr w:type="spellStart"/>
      <w:r w:rsidRPr="006F53B6">
        <w:rPr>
          <w:rFonts w:asciiTheme="majorHAnsi" w:hAnsiTheme="majorHAnsi" w:cstheme="majorHAnsi"/>
        </w:rPr>
        <w:t>vedomá</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svojich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zákonných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povinností</w:t>
      </w:r>
      <w:proofErr w:type="spellEnd"/>
      <w:r w:rsidRPr="006F53B6">
        <w:rPr>
          <w:rFonts w:asciiTheme="majorHAnsi" w:hAnsiTheme="majorHAnsi" w:cstheme="majorHAnsi"/>
        </w:rPr>
        <w:t xml:space="preserve"> a </w:t>
      </w:r>
      <w:proofErr w:type="spellStart"/>
      <w:r w:rsidRPr="006F53B6">
        <w:rPr>
          <w:rFonts w:asciiTheme="majorHAnsi" w:hAnsiTheme="majorHAnsi" w:cstheme="majorHAnsi"/>
        </w:rPr>
        <w:t>bude</w:t>
      </w:r>
      <w:proofErr w:type="spellEnd"/>
      <w:r w:rsidRPr="006F53B6">
        <w:rPr>
          <w:rFonts w:asciiTheme="majorHAnsi" w:hAnsiTheme="majorHAnsi" w:cstheme="majorHAnsi"/>
        </w:rPr>
        <w:t xml:space="preserve"> ich </w:t>
      </w:r>
      <w:proofErr w:type="spellStart"/>
      <w:r w:rsidRPr="006F53B6">
        <w:rPr>
          <w:rFonts w:asciiTheme="majorHAnsi" w:hAnsiTheme="majorHAnsi" w:cstheme="majorHAnsi"/>
        </w:rPr>
        <w:t>dodržiavať</w:t>
      </w:r>
      <w:proofErr w:type="spellEnd"/>
      <w:r w:rsidRPr="006F53B6">
        <w:rPr>
          <w:rFonts w:asciiTheme="majorHAnsi" w:hAnsiTheme="majorHAnsi" w:cstheme="majorHAnsi"/>
        </w:rPr>
        <w:t xml:space="preserve">. </w:t>
      </w:r>
    </w:p>
    <w:p w14:paraId="778510AC" w14:textId="4F2A5728" w:rsidR="005A7B56" w:rsidRPr="006F53B6" w:rsidRDefault="005A7B56" w:rsidP="006F53B6">
      <w:pPr>
        <w:spacing w:after="0"/>
        <w:jc w:val="both"/>
        <w:rPr>
          <w:rFonts w:asciiTheme="majorHAnsi" w:hAnsiTheme="majorHAnsi" w:cstheme="majorHAnsi"/>
        </w:rPr>
      </w:pPr>
      <w:proofErr w:type="spellStart"/>
      <w:r w:rsidRPr="006F53B6">
        <w:rPr>
          <w:rFonts w:asciiTheme="majorHAnsi" w:hAnsiTheme="majorHAnsi" w:cstheme="majorHAnsi"/>
        </w:rPr>
        <w:t>Produkty</w:t>
      </w:r>
      <w:proofErr w:type="spellEnd"/>
      <w:r w:rsidRPr="006F53B6">
        <w:rPr>
          <w:rFonts w:asciiTheme="majorHAnsi" w:hAnsiTheme="majorHAnsi" w:cstheme="majorHAnsi"/>
        </w:rPr>
        <w:t xml:space="preserve"> GE Healthcare za </w:t>
      </w:r>
      <w:proofErr w:type="spellStart"/>
      <w:r w:rsidRPr="006F53B6">
        <w:rPr>
          <w:rFonts w:asciiTheme="majorHAnsi" w:hAnsiTheme="majorHAnsi" w:cstheme="majorHAnsi"/>
        </w:rPr>
        <w:t>normálnych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podmienok</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používania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zámerne</w:t>
      </w:r>
      <w:proofErr w:type="spellEnd"/>
      <w:r w:rsidRPr="006F53B6">
        <w:rPr>
          <w:rFonts w:asciiTheme="majorHAnsi" w:hAnsiTheme="majorHAnsi" w:cstheme="majorHAnsi"/>
        </w:rPr>
        <w:t xml:space="preserve"> </w:t>
      </w:r>
      <w:proofErr w:type="spellStart"/>
      <w:proofErr w:type="gramStart"/>
      <w:r w:rsidRPr="006F53B6">
        <w:rPr>
          <w:rFonts w:asciiTheme="majorHAnsi" w:hAnsiTheme="majorHAnsi" w:cstheme="majorHAnsi"/>
        </w:rPr>
        <w:t>neuvoľňujú</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látky</w:t>
      </w:r>
      <w:proofErr w:type="spellEnd"/>
      <w:proofErr w:type="gramEnd"/>
      <w:r w:rsidRPr="006F53B6">
        <w:rPr>
          <w:rFonts w:asciiTheme="majorHAnsi" w:hAnsiTheme="majorHAnsi" w:cstheme="majorHAnsi"/>
        </w:rPr>
        <w:t xml:space="preserve">. </w:t>
      </w:r>
    </w:p>
    <w:p w14:paraId="46DD8FB8" w14:textId="4C7E2E70" w:rsidR="001D2DAA" w:rsidRPr="006F53B6" w:rsidRDefault="009344EB" w:rsidP="006F53B6">
      <w:pPr>
        <w:spacing w:after="0"/>
        <w:jc w:val="both"/>
        <w:rPr>
          <w:rFonts w:asciiTheme="majorHAnsi" w:hAnsiTheme="majorHAnsi" w:cstheme="majorHAnsi"/>
        </w:rPr>
      </w:pPr>
      <w:r w:rsidRPr="006F53B6">
        <w:rPr>
          <w:rFonts w:asciiTheme="majorHAnsi" w:hAnsiTheme="majorHAnsi" w:cstheme="majorHAnsi"/>
        </w:rPr>
        <w:t xml:space="preserve">Na </w:t>
      </w:r>
      <w:proofErr w:type="spellStart"/>
      <w:r w:rsidRPr="006F53B6">
        <w:rPr>
          <w:rFonts w:asciiTheme="majorHAnsi" w:hAnsiTheme="majorHAnsi" w:cstheme="majorHAnsi"/>
        </w:rPr>
        <w:t>základe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doterajších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informácií</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od</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našich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dodávateľov</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sú</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tieto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látky</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prítomné</w:t>
      </w:r>
      <w:proofErr w:type="spellEnd"/>
      <w:r w:rsidRPr="006F53B6">
        <w:rPr>
          <w:rFonts w:asciiTheme="majorHAnsi" w:hAnsiTheme="majorHAnsi" w:cstheme="majorHAnsi"/>
        </w:rPr>
        <w:t xml:space="preserve"> v </w:t>
      </w:r>
      <w:proofErr w:type="spellStart"/>
      <w:r w:rsidRPr="006F53B6">
        <w:rPr>
          <w:rFonts w:asciiTheme="majorHAnsi" w:hAnsiTheme="majorHAnsi" w:cstheme="majorHAnsi"/>
        </w:rPr>
        <w:t>nasledujúcich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produktoch</w:t>
      </w:r>
      <w:proofErr w:type="spellEnd"/>
      <w:r w:rsidRPr="006F53B6">
        <w:rPr>
          <w:rFonts w:asciiTheme="majorHAnsi" w:hAnsiTheme="majorHAnsi" w:cstheme="majorHAnsi"/>
        </w:rPr>
        <w:t xml:space="preserve"> v </w:t>
      </w:r>
      <w:proofErr w:type="spellStart"/>
      <w:r w:rsidRPr="006F53B6">
        <w:rPr>
          <w:rFonts w:asciiTheme="majorHAnsi" w:hAnsiTheme="majorHAnsi" w:cstheme="majorHAnsi"/>
        </w:rPr>
        <w:t>koncentrácii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ktorá</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môže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byť</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vyššia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ako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prahová</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hodnota</w:t>
      </w:r>
      <w:proofErr w:type="spellEnd"/>
      <w:r w:rsidRPr="006F53B6">
        <w:rPr>
          <w:rFonts w:asciiTheme="majorHAnsi" w:hAnsiTheme="majorHAnsi" w:cstheme="majorHAnsi"/>
        </w:rPr>
        <w:t xml:space="preserve"> 0,1 % </w:t>
      </w:r>
      <w:proofErr w:type="spellStart"/>
      <w:r w:rsidRPr="006F53B6">
        <w:rPr>
          <w:rFonts w:asciiTheme="majorHAnsi" w:hAnsiTheme="majorHAnsi" w:cstheme="majorHAnsi"/>
        </w:rPr>
        <w:t>proporcionálnej</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hmotnosti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úrovni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výrobku</w:t>
      </w:r>
      <w:proofErr w:type="spellEnd"/>
      <w:r w:rsidRPr="006F53B6">
        <w:rPr>
          <w:rFonts w:asciiTheme="majorHAnsi" w:hAnsiTheme="majorHAnsi" w:cstheme="majorHAnsi"/>
        </w:rPr>
        <w:t>:</w:t>
      </w:r>
    </w:p>
    <w:p w14:paraId="3CDF5BC9" w14:textId="77777777" w:rsidR="005A7B56" w:rsidRPr="006706BE" w:rsidRDefault="005A7B56" w:rsidP="005A7B56">
      <w:pPr>
        <w:rPr>
          <w:rFonts w:asciiTheme="majorHAnsi" w:hAnsiTheme="majorHAnsi" w:cstheme="majorHAnsi"/>
          <w:color w:val="ED7D31" w:themeColor="accent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0EE51662" w14:textId="77777777" w:rsidTr="00636C30">
        <w:trPr>
          <w:trHeight w:val="290"/>
        </w:trPr>
        <w:tc>
          <w:tcPr>
            <w:tcW w:w="1413" w:type="dxa"/>
            <w:noWrap/>
          </w:tcPr>
          <w:p w14:paraId="5FD114F8" w14:textId="77777777" w:rsidR="001D2DAA" w:rsidRPr="006F53B6" w:rsidRDefault="005A7B56"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Názov</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produktu</w:t>
            </w:r>
            <w:proofErr w:type="spellEnd"/>
          </w:p>
        </w:tc>
        <w:tc>
          <w:tcPr>
            <w:tcW w:w="5953" w:type="dxa"/>
          </w:tcPr>
          <w:p w14:paraId="731E5DF5" w14:textId="77777777" w:rsidR="001D2DAA" w:rsidRPr="006F53B6" w:rsidRDefault="005A7B56"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Názov</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látky</w:t>
            </w:r>
            <w:proofErr w:type="spellEnd"/>
          </w:p>
        </w:tc>
        <w:tc>
          <w:tcPr>
            <w:tcW w:w="1696" w:type="dxa"/>
          </w:tcPr>
          <w:p w14:paraId="6F078779" w14:textId="77777777" w:rsidR="001D2DAA" w:rsidRPr="006F53B6" w:rsidRDefault="005A7B56" w:rsidP="005A2C7D">
            <w:pPr>
              <w:spacing w:after="0" w:line="240" w:lineRule="auto"/>
              <w:rPr>
                <w:rFonts w:asciiTheme="majorHAnsi" w:hAnsiTheme="majorHAnsi" w:cstheme="majorHAnsi"/>
                <w:b/>
                <w:bCs/>
                <w:lang w:val="fr-FR"/>
              </w:rPr>
            </w:pPr>
            <w:proofErr w:type="spellStart"/>
            <w:r w:rsidRPr="006F53B6">
              <w:rPr>
                <w:rFonts w:asciiTheme="majorHAnsi" w:hAnsiTheme="majorHAnsi" w:cstheme="majorHAnsi"/>
                <w:b/>
                <w:bCs/>
                <w:lang w:val="fr-FR"/>
              </w:rPr>
              <w:t>Číslo</w:t>
            </w:r>
            <w:proofErr w:type="spellEnd"/>
            <w:r w:rsidRPr="006F53B6">
              <w:rPr>
                <w:rFonts w:asciiTheme="majorHAnsi" w:hAnsiTheme="majorHAnsi" w:cstheme="majorHAnsi"/>
                <w:b/>
                <w:bCs/>
                <w:lang w:val="fr-FR"/>
              </w:rPr>
              <w:t xml:space="preserve"> CAS</w:t>
            </w:r>
          </w:p>
        </w:tc>
      </w:tr>
      <w:tr w:rsidR="00A751C7" w:rsidRPr="00B93A55" w14:paraId="7CFF8D55" w14:textId="77777777" w:rsidTr="003E41E7">
        <w:trPr>
          <w:trHeight w:val="290"/>
        </w:trPr>
        <w:tc>
          <w:tcPr>
            <w:tcW w:w="9062" w:type="dxa"/>
            <w:gridSpan w:val="3"/>
            <w:noWrap/>
          </w:tcPr>
          <w:p w14:paraId="2D6B0084" w14:textId="77777777" w:rsidR="00A751C7" w:rsidRPr="00B93A55" w:rsidRDefault="00A751C7"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A751C7" w14:paraId="7762AF3A" w14:textId="77777777" w:rsidTr="003E41E7">
        <w:trPr>
          <w:trHeight w:val="290"/>
        </w:trPr>
        <w:tc>
          <w:tcPr>
            <w:tcW w:w="1413" w:type="dxa"/>
            <w:noWrap/>
            <w:hideMark/>
          </w:tcPr>
          <w:p w14:paraId="72DDFDB9"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495B882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784552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AC3B07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055329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F82027A"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29A5CA5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84FC15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6B93C1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B43002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469515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650E6267" w14:textId="77777777" w:rsidTr="003E41E7">
        <w:trPr>
          <w:trHeight w:val="1448"/>
        </w:trPr>
        <w:tc>
          <w:tcPr>
            <w:tcW w:w="1413" w:type="dxa"/>
            <w:noWrap/>
            <w:hideMark/>
          </w:tcPr>
          <w:p w14:paraId="1FE9337E"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5069202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C030E3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C447D7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A8D137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130BE02" w14:textId="77777777" w:rsidR="00A751C7" w:rsidRPr="007825CB" w:rsidRDefault="00A751C7"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15F61D4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DCE22B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817360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D80791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4B168CD"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6FB2BF0A" w14:textId="77777777" w:rsidTr="003E41E7">
        <w:trPr>
          <w:trHeight w:val="290"/>
        </w:trPr>
        <w:tc>
          <w:tcPr>
            <w:tcW w:w="1413" w:type="dxa"/>
            <w:noWrap/>
            <w:hideMark/>
          </w:tcPr>
          <w:p w14:paraId="73E1F2C4"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3E2B31E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A25552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53FF5B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1C2F4D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F383AF1" w14:textId="77777777" w:rsidR="00A751C7" w:rsidRPr="007825CB" w:rsidRDefault="00A751C7"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3B3A110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3DAC45C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4FEF13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3797F3D"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71304F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3CD7B4D7" w14:textId="77777777" w:rsidTr="003E41E7">
        <w:trPr>
          <w:trHeight w:val="290"/>
        </w:trPr>
        <w:tc>
          <w:tcPr>
            <w:tcW w:w="9062" w:type="dxa"/>
            <w:gridSpan w:val="3"/>
            <w:noWrap/>
          </w:tcPr>
          <w:p w14:paraId="3757C2C4" w14:textId="77777777" w:rsidR="00A751C7" w:rsidRPr="001F3911" w:rsidRDefault="00A751C7"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A751C7" w14:paraId="1D8FF50C"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A417B91"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7D2E2CE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F7CD7A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36B188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E991004"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10857E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820E25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09881B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5B44BD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0CDC66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14134B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616DC45E"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6B8996A"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62E238F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1BB15F0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E97B24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C9F887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F421C8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164C8FA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230C1A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38118E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AA5207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BDB919A"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2127D3A3"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B133B11"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3BCDCAC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0E7FDD7"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F0215F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E1298E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A809169"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1574B8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3CF9407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12B584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6E621A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5A54A80"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rsidRPr="001F3911" w14:paraId="44C0BCC4"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0FEEE477" w14:textId="77777777" w:rsidR="00A751C7" w:rsidRDefault="00A751C7"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5ABF714F"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7D6AD9DC"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0734B7EC"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0C809AE6"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3CC32BF1"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67993D8"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21299066"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5295651B"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4854A4A9"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723DB7CA" w14:textId="77777777" w:rsidR="00A751C7" w:rsidRPr="001F3911"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A751C7" w14:paraId="453D6839"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311672C3" w14:textId="77777777" w:rsidR="00A751C7" w:rsidRDefault="00A751C7"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A751C7" w14:paraId="653A4D69"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FD43430"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6AE2FB56"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0D113A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FEB6F1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611B080"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FAD14F5"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2E0A01E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50F6C66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626BAC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6D76DAF"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19797D0"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FA7B3BF"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4FA76E2B"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0BECAE04"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8B898F4"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2CD07A05"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4E5E03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11D6917E"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F985282"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1A226DC"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04B9937A"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5E5B62B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2E71DE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7735128"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DFD3963"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68F33E0"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7EC5F8F4"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A751C7" w14:paraId="690E8EE0"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11DC8F38" w14:textId="77777777" w:rsidR="00A751C7" w:rsidRPr="00140A1F" w:rsidRDefault="00A751C7"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556F20EC"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34EE5D0"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4D31B81"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1D2ED84"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3EED000"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1BAE4AD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08792452"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A7322F3"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E1090DB" w14:textId="77777777" w:rsidR="00A751C7" w:rsidRPr="001F3911"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C91ED75"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54FA1C9" w14:textId="77777777" w:rsidR="00A751C7" w:rsidRPr="001F3911" w:rsidRDefault="00A751C7"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5AFE4E4C" w14:textId="77777777" w:rsidR="00A751C7" w:rsidRDefault="00A751C7"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5D49F723" w14:textId="77777777" w:rsidR="00636C30" w:rsidRDefault="00636C30" w:rsidP="00636C30">
      <w:pPr>
        <w:rPr>
          <w:rFonts w:asciiTheme="majorHAnsi" w:hAnsiTheme="majorHAnsi" w:cstheme="majorHAnsi"/>
        </w:rPr>
      </w:pPr>
    </w:p>
    <w:p w14:paraId="0AB283DD" w14:textId="77777777" w:rsidR="001D2DAA" w:rsidRDefault="001D2DAA" w:rsidP="001D2DAA">
      <w:pPr>
        <w:rPr>
          <w:rFonts w:asciiTheme="majorHAnsi" w:hAnsiTheme="majorHAnsi" w:cstheme="majorHAnsi"/>
        </w:rPr>
      </w:pPr>
    </w:p>
    <w:p w14:paraId="7D797F03" w14:textId="77777777" w:rsidR="001D2DAA" w:rsidRDefault="001D2DAA" w:rsidP="001D2DAA">
      <w:pPr>
        <w:rPr>
          <w:rFonts w:asciiTheme="majorHAnsi" w:hAnsiTheme="majorHAnsi" w:cstheme="majorHAnsi"/>
        </w:rPr>
      </w:pPr>
      <w:r>
        <w:rPr>
          <w:rFonts w:asciiTheme="majorHAnsi" w:hAnsiTheme="majorHAnsi" w:cstheme="majorHAnsi"/>
        </w:rPr>
        <w:br w:type="page"/>
      </w:r>
    </w:p>
    <w:p w14:paraId="576AF974"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3DF0C0CA"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5820E391"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00C717E2"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70EBE349"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247B4B7A"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290B522D"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325C4D6F"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1A1360EF"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747A80D8"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1AADDE60"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1B38BEC0"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6AFA963A"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2A621E0A"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11273FE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29CC15DB"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156F333A"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5C793FF8" w14:textId="77777777" w:rsidR="001D2DAA" w:rsidRPr="00977090" w:rsidRDefault="001D2DAA" w:rsidP="001D2DAA">
      <w:pPr>
        <w:pStyle w:val="Default"/>
        <w:rPr>
          <w:rFonts w:asciiTheme="majorHAnsi" w:hAnsiTheme="majorHAnsi" w:cstheme="majorHAnsi"/>
          <w:color w:val="auto"/>
          <w:sz w:val="22"/>
          <w:szCs w:val="22"/>
        </w:rPr>
      </w:pPr>
    </w:p>
    <w:p w14:paraId="3297FFCF" w14:textId="77777777" w:rsidR="0063148A" w:rsidRPr="006F53B6" w:rsidRDefault="0063148A" w:rsidP="006F53B6">
      <w:pPr>
        <w:spacing w:after="0"/>
        <w:jc w:val="both"/>
        <w:rPr>
          <w:rFonts w:asciiTheme="majorHAnsi" w:hAnsiTheme="majorHAnsi" w:cstheme="majorHAnsi"/>
        </w:rPr>
      </w:pPr>
      <w:r w:rsidRPr="006F53B6">
        <w:rPr>
          <w:rFonts w:asciiTheme="majorHAnsi" w:hAnsiTheme="majorHAnsi" w:cstheme="majorHAnsi"/>
        </w:rPr>
        <w:t xml:space="preserve">GE Healthcare v </w:t>
      </w:r>
      <w:proofErr w:type="spellStart"/>
      <w:r w:rsidRPr="006F53B6">
        <w:rPr>
          <w:rFonts w:asciiTheme="majorHAnsi" w:hAnsiTheme="majorHAnsi" w:cstheme="majorHAnsi"/>
        </w:rPr>
        <w:t>sodelovanju</w:t>
      </w:r>
      <w:proofErr w:type="spellEnd"/>
      <w:r w:rsidRPr="006F53B6">
        <w:rPr>
          <w:rFonts w:asciiTheme="majorHAnsi" w:hAnsiTheme="majorHAnsi" w:cstheme="majorHAnsi"/>
        </w:rPr>
        <w:t xml:space="preserve"> s </w:t>
      </w:r>
      <w:proofErr w:type="spellStart"/>
      <w:r w:rsidRPr="006F53B6">
        <w:rPr>
          <w:rFonts w:asciiTheme="majorHAnsi" w:hAnsiTheme="majorHAnsi" w:cstheme="majorHAnsi"/>
        </w:rPr>
        <w:t>svojimi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dobavitelji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zagotavlja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skladnost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izdelkov</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uvoženih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ali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proizvedenih</w:t>
      </w:r>
      <w:proofErr w:type="spellEnd"/>
      <w:r w:rsidRPr="006F53B6">
        <w:rPr>
          <w:rFonts w:asciiTheme="majorHAnsi" w:hAnsiTheme="majorHAnsi" w:cstheme="majorHAnsi"/>
        </w:rPr>
        <w:t xml:space="preserve"> v </w:t>
      </w:r>
      <w:proofErr w:type="spellStart"/>
      <w:r w:rsidRPr="006F53B6">
        <w:rPr>
          <w:rFonts w:asciiTheme="majorHAnsi" w:hAnsiTheme="majorHAnsi" w:cstheme="majorHAnsi"/>
        </w:rPr>
        <w:t>Evropski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uniji</w:t>
      </w:r>
      <w:proofErr w:type="spellEnd"/>
      <w:r w:rsidRPr="006F53B6">
        <w:rPr>
          <w:rFonts w:asciiTheme="majorHAnsi" w:hAnsiTheme="majorHAnsi" w:cstheme="majorHAnsi"/>
        </w:rPr>
        <w:t xml:space="preserve">, za </w:t>
      </w:r>
      <w:proofErr w:type="spellStart"/>
      <w:r w:rsidRPr="006F53B6">
        <w:rPr>
          <w:rFonts w:asciiTheme="majorHAnsi" w:hAnsiTheme="majorHAnsi" w:cstheme="majorHAnsi"/>
        </w:rPr>
        <w:t>katere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velja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člen</w:t>
      </w:r>
      <w:proofErr w:type="spellEnd"/>
      <w:r w:rsidRPr="006F53B6">
        <w:rPr>
          <w:rFonts w:asciiTheme="majorHAnsi" w:hAnsiTheme="majorHAnsi" w:cstheme="majorHAnsi"/>
        </w:rPr>
        <w:t xml:space="preserve"> 33 </w:t>
      </w:r>
      <w:proofErr w:type="spellStart"/>
      <w:r w:rsidRPr="006F53B6">
        <w:rPr>
          <w:rFonts w:asciiTheme="majorHAnsi" w:hAnsiTheme="majorHAnsi" w:cstheme="majorHAnsi"/>
        </w:rPr>
        <w:t>uredbe</w:t>
      </w:r>
      <w:proofErr w:type="spellEnd"/>
      <w:r w:rsidRPr="006F53B6">
        <w:rPr>
          <w:rFonts w:asciiTheme="majorHAnsi" w:hAnsiTheme="majorHAnsi" w:cstheme="majorHAnsi"/>
        </w:rPr>
        <w:t xml:space="preserve"> REACH (</w:t>
      </w:r>
      <w:proofErr w:type="spellStart"/>
      <w:r w:rsidRPr="006F53B6">
        <w:rPr>
          <w:rFonts w:asciiTheme="majorHAnsi" w:hAnsiTheme="majorHAnsi" w:cstheme="majorHAnsi"/>
        </w:rPr>
        <w:t>št</w:t>
      </w:r>
      <w:proofErr w:type="spellEnd"/>
      <w:r w:rsidRPr="006F53B6">
        <w:rPr>
          <w:rFonts w:asciiTheme="majorHAnsi" w:hAnsiTheme="majorHAnsi" w:cstheme="majorHAnsi"/>
        </w:rPr>
        <w:t xml:space="preserve">. ES 1907/2006) in ki se </w:t>
      </w:r>
      <w:proofErr w:type="spellStart"/>
      <w:r w:rsidRPr="006F53B6">
        <w:rPr>
          <w:rFonts w:asciiTheme="majorHAnsi" w:hAnsiTheme="majorHAnsi" w:cstheme="majorHAnsi"/>
        </w:rPr>
        <w:t>uporabljajo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proizvodnji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izdelkov</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družbe</w:t>
      </w:r>
      <w:proofErr w:type="spellEnd"/>
      <w:r w:rsidRPr="006F53B6">
        <w:rPr>
          <w:rFonts w:asciiTheme="majorHAnsi" w:hAnsiTheme="majorHAnsi" w:cstheme="majorHAnsi"/>
        </w:rPr>
        <w:t xml:space="preserve"> GE Healthcare. </w:t>
      </w:r>
    </w:p>
    <w:p w14:paraId="0C3D8590" w14:textId="77777777" w:rsidR="0063148A" w:rsidRPr="006F53B6" w:rsidRDefault="0063148A" w:rsidP="006F53B6">
      <w:pPr>
        <w:spacing w:after="0"/>
        <w:jc w:val="both"/>
        <w:rPr>
          <w:rFonts w:asciiTheme="majorHAnsi" w:hAnsiTheme="majorHAnsi" w:cstheme="majorHAnsi"/>
        </w:rPr>
      </w:pPr>
      <w:proofErr w:type="spellStart"/>
      <w:r w:rsidRPr="006F53B6">
        <w:rPr>
          <w:rFonts w:asciiTheme="majorHAnsi" w:hAnsiTheme="majorHAnsi" w:cstheme="majorHAnsi"/>
        </w:rPr>
        <w:t>Družba</w:t>
      </w:r>
      <w:proofErr w:type="spellEnd"/>
      <w:r w:rsidRPr="006F53B6">
        <w:rPr>
          <w:rFonts w:asciiTheme="majorHAnsi" w:hAnsiTheme="majorHAnsi" w:cstheme="majorHAnsi"/>
        </w:rPr>
        <w:t xml:space="preserve"> GE Healthcare se </w:t>
      </w:r>
      <w:proofErr w:type="spellStart"/>
      <w:r w:rsidRPr="006F53B6">
        <w:rPr>
          <w:rFonts w:asciiTheme="majorHAnsi" w:hAnsiTheme="majorHAnsi" w:cstheme="majorHAnsi"/>
        </w:rPr>
        <w:t>zaveda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svojih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pravnih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obveznosti</w:t>
      </w:r>
      <w:proofErr w:type="spellEnd"/>
      <w:r w:rsidRPr="006F53B6">
        <w:rPr>
          <w:rFonts w:asciiTheme="majorHAnsi" w:hAnsiTheme="majorHAnsi" w:cstheme="majorHAnsi"/>
        </w:rPr>
        <w:t xml:space="preserve"> v </w:t>
      </w:r>
      <w:proofErr w:type="spellStart"/>
      <w:r w:rsidRPr="006F53B6">
        <w:rPr>
          <w:rFonts w:asciiTheme="majorHAnsi" w:hAnsiTheme="majorHAnsi" w:cstheme="majorHAnsi"/>
        </w:rPr>
        <w:t>zvezi</w:t>
      </w:r>
      <w:proofErr w:type="spellEnd"/>
      <w:r w:rsidRPr="006F53B6">
        <w:rPr>
          <w:rFonts w:asciiTheme="majorHAnsi" w:hAnsiTheme="majorHAnsi" w:cstheme="majorHAnsi"/>
        </w:rPr>
        <w:t xml:space="preserve"> z </w:t>
      </w:r>
      <w:proofErr w:type="spellStart"/>
      <w:r w:rsidRPr="006F53B6">
        <w:rPr>
          <w:rFonts w:asciiTheme="majorHAnsi" w:hAnsiTheme="majorHAnsi" w:cstheme="majorHAnsi"/>
        </w:rPr>
        <w:t>uporabo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člena</w:t>
      </w:r>
      <w:proofErr w:type="spellEnd"/>
      <w:r w:rsidRPr="006F53B6">
        <w:rPr>
          <w:rFonts w:asciiTheme="majorHAnsi" w:hAnsiTheme="majorHAnsi" w:cstheme="majorHAnsi"/>
        </w:rPr>
        <w:t xml:space="preserve"> 33 </w:t>
      </w:r>
      <w:proofErr w:type="spellStart"/>
      <w:r w:rsidRPr="006F53B6">
        <w:rPr>
          <w:rFonts w:asciiTheme="majorHAnsi" w:hAnsiTheme="majorHAnsi" w:cstheme="majorHAnsi"/>
        </w:rPr>
        <w:t>uredbe</w:t>
      </w:r>
      <w:proofErr w:type="spellEnd"/>
      <w:r w:rsidRPr="006F53B6">
        <w:rPr>
          <w:rFonts w:asciiTheme="majorHAnsi" w:hAnsiTheme="majorHAnsi" w:cstheme="majorHAnsi"/>
        </w:rPr>
        <w:t xml:space="preserve"> REACH in </w:t>
      </w:r>
      <w:proofErr w:type="spellStart"/>
      <w:r w:rsidRPr="006F53B6">
        <w:rPr>
          <w:rFonts w:asciiTheme="majorHAnsi" w:hAnsiTheme="majorHAnsi" w:cstheme="majorHAnsi"/>
        </w:rPr>
        <w:t>objavo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seznama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kandidatnih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snovi</w:t>
      </w:r>
      <w:proofErr w:type="spellEnd"/>
      <w:r w:rsidRPr="006F53B6">
        <w:rPr>
          <w:rFonts w:asciiTheme="majorHAnsi" w:hAnsiTheme="majorHAnsi" w:cstheme="majorHAnsi"/>
        </w:rPr>
        <w:t xml:space="preserve">, ki </w:t>
      </w:r>
      <w:proofErr w:type="spellStart"/>
      <w:r w:rsidRPr="006F53B6">
        <w:rPr>
          <w:rFonts w:asciiTheme="majorHAnsi" w:hAnsiTheme="majorHAnsi" w:cstheme="majorHAnsi"/>
        </w:rPr>
        <w:t>vzbujajo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veliko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skrb</w:t>
      </w:r>
      <w:proofErr w:type="spellEnd"/>
      <w:r w:rsidRPr="006F53B6">
        <w:rPr>
          <w:rFonts w:asciiTheme="majorHAnsi" w:hAnsiTheme="majorHAnsi" w:cstheme="majorHAnsi"/>
        </w:rPr>
        <w:t xml:space="preserve"> (SVHC), v </w:t>
      </w:r>
      <w:proofErr w:type="spellStart"/>
      <w:r w:rsidRPr="006F53B6">
        <w:rPr>
          <w:rFonts w:asciiTheme="majorHAnsi" w:hAnsiTheme="majorHAnsi" w:cstheme="majorHAnsi"/>
        </w:rPr>
        <w:t>skladu</w:t>
      </w:r>
      <w:proofErr w:type="spellEnd"/>
      <w:r w:rsidRPr="006F53B6">
        <w:rPr>
          <w:rFonts w:asciiTheme="majorHAnsi" w:hAnsiTheme="majorHAnsi" w:cstheme="majorHAnsi"/>
        </w:rPr>
        <w:t xml:space="preserve"> s </w:t>
      </w:r>
      <w:proofErr w:type="spellStart"/>
      <w:r w:rsidRPr="006F53B6">
        <w:rPr>
          <w:rFonts w:asciiTheme="majorHAnsi" w:hAnsiTheme="majorHAnsi" w:cstheme="majorHAnsi"/>
        </w:rPr>
        <w:t>členom</w:t>
      </w:r>
      <w:proofErr w:type="spellEnd"/>
      <w:r w:rsidRPr="006F53B6">
        <w:rPr>
          <w:rFonts w:asciiTheme="majorHAnsi" w:hAnsiTheme="majorHAnsi" w:cstheme="majorHAnsi"/>
        </w:rPr>
        <w:t xml:space="preserve"> 59 </w:t>
      </w:r>
      <w:proofErr w:type="spellStart"/>
      <w:r w:rsidRPr="006F53B6">
        <w:rPr>
          <w:rFonts w:asciiTheme="majorHAnsi" w:hAnsiTheme="majorHAnsi" w:cstheme="majorHAnsi"/>
        </w:rPr>
        <w:t>uredbe</w:t>
      </w:r>
      <w:proofErr w:type="spellEnd"/>
      <w:r w:rsidRPr="006F53B6">
        <w:rPr>
          <w:rFonts w:asciiTheme="majorHAnsi" w:hAnsiTheme="majorHAnsi" w:cstheme="majorHAnsi"/>
        </w:rPr>
        <w:t xml:space="preserve"> REACH in </w:t>
      </w:r>
      <w:proofErr w:type="spellStart"/>
      <w:r w:rsidRPr="006F53B6">
        <w:rPr>
          <w:rFonts w:asciiTheme="majorHAnsi" w:hAnsiTheme="majorHAnsi" w:cstheme="majorHAnsi"/>
        </w:rPr>
        <w:t>bo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svoje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dolžnosti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izpolnjevala</w:t>
      </w:r>
      <w:proofErr w:type="spellEnd"/>
      <w:r w:rsidRPr="006F53B6">
        <w:rPr>
          <w:rFonts w:asciiTheme="majorHAnsi" w:hAnsiTheme="majorHAnsi" w:cstheme="majorHAnsi"/>
        </w:rPr>
        <w:t xml:space="preserve">. </w:t>
      </w:r>
    </w:p>
    <w:p w14:paraId="2F39A53A" w14:textId="1F8E521E" w:rsidR="0063148A" w:rsidRPr="006F53B6" w:rsidRDefault="0063148A" w:rsidP="006F53B6">
      <w:pPr>
        <w:spacing w:after="0"/>
        <w:jc w:val="both"/>
        <w:rPr>
          <w:rFonts w:asciiTheme="majorHAnsi" w:hAnsiTheme="majorHAnsi" w:cstheme="majorHAnsi"/>
        </w:rPr>
      </w:pPr>
      <w:proofErr w:type="spellStart"/>
      <w:r w:rsidRPr="006F53B6">
        <w:rPr>
          <w:rFonts w:asciiTheme="majorHAnsi" w:hAnsiTheme="majorHAnsi" w:cstheme="majorHAnsi"/>
        </w:rPr>
        <w:t>Izdelki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družbe</w:t>
      </w:r>
      <w:proofErr w:type="spellEnd"/>
      <w:r w:rsidRPr="006F53B6">
        <w:rPr>
          <w:rFonts w:asciiTheme="majorHAnsi" w:hAnsiTheme="majorHAnsi" w:cstheme="majorHAnsi"/>
        </w:rPr>
        <w:t xml:space="preserve"> GE Healthcare pod </w:t>
      </w:r>
      <w:proofErr w:type="spellStart"/>
      <w:r w:rsidRPr="006F53B6">
        <w:rPr>
          <w:rFonts w:asciiTheme="majorHAnsi" w:hAnsiTheme="majorHAnsi" w:cstheme="majorHAnsi"/>
        </w:rPr>
        <w:t>normalnimi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pogoji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uporabe</w:t>
      </w:r>
      <w:proofErr w:type="spellEnd"/>
      <w:r w:rsidRPr="006F53B6">
        <w:rPr>
          <w:rFonts w:asciiTheme="majorHAnsi" w:hAnsiTheme="majorHAnsi" w:cstheme="majorHAnsi"/>
        </w:rPr>
        <w:t xml:space="preserve"> ne </w:t>
      </w:r>
      <w:proofErr w:type="spellStart"/>
      <w:r w:rsidRPr="006F53B6">
        <w:rPr>
          <w:rFonts w:asciiTheme="majorHAnsi" w:hAnsiTheme="majorHAnsi" w:cstheme="majorHAnsi"/>
        </w:rPr>
        <w:t>sproščajo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snovi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namerno</w:t>
      </w:r>
      <w:proofErr w:type="spellEnd"/>
      <w:r w:rsidRPr="006F53B6">
        <w:rPr>
          <w:rFonts w:asciiTheme="majorHAnsi" w:hAnsiTheme="majorHAnsi" w:cstheme="majorHAnsi"/>
        </w:rPr>
        <w:t xml:space="preserve">". </w:t>
      </w:r>
    </w:p>
    <w:p w14:paraId="51847996" w14:textId="5F1CED5D" w:rsidR="001D2DAA" w:rsidRPr="006F53B6" w:rsidRDefault="009344EB" w:rsidP="006F53B6">
      <w:pPr>
        <w:spacing w:after="0"/>
        <w:jc w:val="both"/>
        <w:rPr>
          <w:rFonts w:asciiTheme="majorHAnsi" w:hAnsiTheme="majorHAnsi" w:cstheme="majorHAnsi"/>
        </w:rPr>
      </w:pPr>
      <w:r w:rsidRPr="006F53B6">
        <w:rPr>
          <w:rFonts w:asciiTheme="majorHAnsi" w:hAnsiTheme="majorHAnsi" w:cstheme="majorHAnsi"/>
        </w:rPr>
        <w:t xml:space="preserve">Na </w:t>
      </w:r>
      <w:proofErr w:type="spellStart"/>
      <w:r w:rsidRPr="006F53B6">
        <w:rPr>
          <w:rFonts w:asciiTheme="majorHAnsi" w:hAnsiTheme="majorHAnsi" w:cstheme="majorHAnsi"/>
        </w:rPr>
        <w:t>podlagi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dosedanjih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informacij</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naših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dobaviteljev</w:t>
      </w:r>
      <w:proofErr w:type="spellEnd"/>
      <w:r w:rsidRPr="006F53B6">
        <w:rPr>
          <w:rFonts w:asciiTheme="majorHAnsi" w:hAnsiTheme="majorHAnsi" w:cstheme="majorHAnsi"/>
        </w:rPr>
        <w:t xml:space="preserve"> so </w:t>
      </w:r>
      <w:proofErr w:type="spellStart"/>
      <w:r w:rsidRPr="006F53B6">
        <w:rPr>
          <w:rFonts w:asciiTheme="majorHAnsi" w:hAnsiTheme="majorHAnsi" w:cstheme="majorHAnsi"/>
        </w:rPr>
        <w:t>te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snovi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prisotne</w:t>
      </w:r>
      <w:proofErr w:type="spellEnd"/>
      <w:r w:rsidRPr="006F53B6">
        <w:rPr>
          <w:rFonts w:asciiTheme="majorHAnsi" w:hAnsiTheme="majorHAnsi" w:cstheme="majorHAnsi"/>
        </w:rPr>
        <w:t xml:space="preserve"> v </w:t>
      </w:r>
      <w:proofErr w:type="spellStart"/>
      <w:r w:rsidRPr="006F53B6">
        <w:rPr>
          <w:rFonts w:asciiTheme="majorHAnsi" w:hAnsiTheme="majorHAnsi" w:cstheme="majorHAnsi"/>
        </w:rPr>
        <w:t>naslednjih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proizvodih</w:t>
      </w:r>
      <w:proofErr w:type="spellEnd"/>
      <w:r w:rsidRPr="006F53B6">
        <w:rPr>
          <w:rFonts w:asciiTheme="majorHAnsi" w:hAnsiTheme="majorHAnsi" w:cstheme="majorHAnsi"/>
        </w:rPr>
        <w:t xml:space="preserve"> s </w:t>
      </w:r>
      <w:proofErr w:type="spellStart"/>
      <w:r w:rsidRPr="006F53B6">
        <w:rPr>
          <w:rFonts w:asciiTheme="majorHAnsi" w:hAnsiTheme="majorHAnsi" w:cstheme="majorHAnsi"/>
        </w:rPr>
        <w:t>koncentracijo</w:t>
      </w:r>
      <w:proofErr w:type="spellEnd"/>
      <w:r w:rsidRPr="006F53B6">
        <w:rPr>
          <w:rFonts w:asciiTheme="majorHAnsi" w:hAnsiTheme="majorHAnsi" w:cstheme="majorHAnsi"/>
        </w:rPr>
        <w:t xml:space="preserve">, ki je </w:t>
      </w:r>
      <w:proofErr w:type="spellStart"/>
      <w:r w:rsidRPr="006F53B6">
        <w:rPr>
          <w:rFonts w:asciiTheme="majorHAnsi" w:hAnsiTheme="majorHAnsi" w:cstheme="majorHAnsi"/>
        </w:rPr>
        <w:t>lahko</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večja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od</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mejne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vrednosti</w:t>
      </w:r>
      <w:proofErr w:type="spellEnd"/>
      <w:r w:rsidRPr="006F53B6">
        <w:rPr>
          <w:rFonts w:asciiTheme="majorHAnsi" w:hAnsiTheme="majorHAnsi" w:cstheme="majorHAnsi"/>
        </w:rPr>
        <w:t xml:space="preserve"> 0,1 % </w:t>
      </w:r>
      <w:proofErr w:type="spellStart"/>
      <w:r w:rsidRPr="006F53B6">
        <w:rPr>
          <w:rFonts w:asciiTheme="majorHAnsi" w:hAnsiTheme="majorHAnsi" w:cstheme="majorHAnsi"/>
        </w:rPr>
        <w:t>teže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izdelka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ravni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izdelka</w:t>
      </w:r>
      <w:proofErr w:type="spellEnd"/>
      <w:r w:rsidRPr="006F53B6">
        <w:rPr>
          <w:rFonts w:asciiTheme="majorHAnsi" w:hAnsiTheme="majorHAnsi" w:cstheme="majorHAnsi"/>
        </w:rPr>
        <w:t>:</w:t>
      </w:r>
    </w:p>
    <w:p w14:paraId="62394F53" w14:textId="77777777" w:rsidR="0063148A" w:rsidRPr="006706BE" w:rsidRDefault="0063148A" w:rsidP="0063148A">
      <w:pPr>
        <w:rPr>
          <w:rFonts w:asciiTheme="majorHAnsi" w:hAnsiTheme="majorHAnsi" w:cstheme="majorHAnsi"/>
          <w:color w:val="ED7D31" w:themeColor="accent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3CFDAD9D" w14:textId="77777777" w:rsidTr="00241A44">
        <w:trPr>
          <w:trHeight w:val="290"/>
        </w:trPr>
        <w:tc>
          <w:tcPr>
            <w:tcW w:w="1413" w:type="dxa"/>
            <w:noWrap/>
          </w:tcPr>
          <w:p w14:paraId="4BA50934" w14:textId="77777777" w:rsidR="001D2DAA" w:rsidRPr="006F53B6" w:rsidRDefault="00DF35DE" w:rsidP="005A2C7D">
            <w:pPr>
              <w:spacing w:after="0" w:line="240" w:lineRule="auto"/>
              <w:rPr>
                <w:rFonts w:asciiTheme="majorHAnsi" w:hAnsiTheme="majorHAnsi" w:cstheme="majorHAnsi"/>
                <w:b/>
                <w:bCs/>
              </w:rPr>
            </w:pPr>
            <w:r w:rsidRPr="006F53B6">
              <w:rPr>
                <w:rFonts w:asciiTheme="majorHAnsi" w:hAnsiTheme="majorHAnsi" w:cstheme="majorHAnsi"/>
                <w:b/>
                <w:bCs/>
              </w:rPr>
              <w:t xml:space="preserve">Ime </w:t>
            </w:r>
            <w:proofErr w:type="spellStart"/>
            <w:r w:rsidRPr="006F53B6">
              <w:rPr>
                <w:rFonts w:asciiTheme="majorHAnsi" w:hAnsiTheme="majorHAnsi" w:cstheme="majorHAnsi"/>
                <w:b/>
                <w:bCs/>
              </w:rPr>
              <w:t>izdelka</w:t>
            </w:r>
            <w:proofErr w:type="spellEnd"/>
          </w:p>
        </w:tc>
        <w:tc>
          <w:tcPr>
            <w:tcW w:w="5953" w:type="dxa"/>
          </w:tcPr>
          <w:p w14:paraId="155EF8DE" w14:textId="77777777" w:rsidR="001D2DAA" w:rsidRPr="006F53B6" w:rsidRDefault="00DF35DE" w:rsidP="005A2C7D">
            <w:pPr>
              <w:spacing w:after="0" w:line="240" w:lineRule="auto"/>
              <w:rPr>
                <w:rFonts w:asciiTheme="majorHAnsi" w:hAnsiTheme="majorHAnsi" w:cstheme="majorHAnsi"/>
                <w:b/>
                <w:bCs/>
              </w:rPr>
            </w:pPr>
            <w:r w:rsidRPr="006F53B6">
              <w:rPr>
                <w:rFonts w:asciiTheme="majorHAnsi" w:hAnsiTheme="majorHAnsi" w:cstheme="majorHAnsi"/>
                <w:b/>
                <w:bCs/>
              </w:rPr>
              <w:t xml:space="preserve">Ime </w:t>
            </w:r>
            <w:proofErr w:type="spellStart"/>
            <w:r w:rsidRPr="006F53B6">
              <w:rPr>
                <w:rFonts w:asciiTheme="majorHAnsi" w:hAnsiTheme="majorHAnsi" w:cstheme="majorHAnsi"/>
                <w:b/>
                <w:bCs/>
              </w:rPr>
              <w:t>snovi</w:t>
            </w:r>
            <w:proofErr w:type="spellEnd"/>
          </w:p>
        </w:tc>
        <w:tc>
          <w:tcPr>
            <w:tcW w:w="1696" w:type="dxa"/>
          </w:tcPr>
          <w:p w14:paraId="777E227B" w14:textId="77777777" w:rsidR="001D2DAA" w:rsidRPr="006F53B6" w:rsidRDefault="00DF35DE" w:rsidP="005A2C7D">
            <w:pPr>
              <w:spacing w:after="0" w:line="240" w:lineRule="auto"/>
              <w:rPr>
                <w:rFonts w:asciiTheme="majorHAnsi" w:hAnsiTheme="majorHAnsi" w:cstheme="majorHAnsi"/>
                <w:b/>
                <w:bCs/>
                <w:lang w:val="fr-FR"/>
              </w:rPr>
            </w:pPr>
            <w:proofErr w:type="spellStart"/>
            <w:r w:rsidRPr="006F53B6">
              <w:rPr>
                <w:rFonts w:asciiTheme="majorHAnsi" w:hAnsiTheme="majorHAnsi" w:cstheme="majorHAnsi"/>
                <w:b/>
                <w:bCs/>
                <w:lang w:val="fr-FR"/>
              </w:rPr>
              <w:t>Št</w:t>
            </w:r>
            <w:proofErr w:type="spellEnd"/>
            <w:r w:rsidRPr="006F53B6">
              <w:rPr>
                <w:rFonts w:asciiTheme="majorHAnsi" w:hAnsiTheme="majorHAnsi" w:cstheme="majorHAnsi"/>
                <w:b/>
                <w:bCs/>
                <w:lang w:val="fr-FR"/>
              </w:rPr>
              <w:t>. CAS</w:t>
            </w:r>
          </w:p>
        </w:tc>
      </w:tr>
      <w:tr w:rsidR="00ED30D9" w:rsidRPr="00B93A55" w14:paraId="339FB8A2" w14:textId="77777777" w:rsidTr="003E41E7">
        <w:trPr>
          <w:trHeight w:val="290"/>
        </w:trPr>
        <w:tc>
          <w:tcPr>
            <w:tcW w:w="9062" w:type="dxa"/>
            <w:gridSpan w:val="3"/>
            <w:noWrap/>
          </w:tcPr>
          <w:p w14:paraId="1D99E2D5" w14:textId="77777777" w:rsidR="00ED30D9" w:rsidRPr="00B93A55" w:rsidRDefault="00ED30D9"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ED30D9" w14:paraId="286C98E9" w14:textId="77777777" w:rsidTr="003E41E7">
        <w:trPr>
          <w:trHeight w:val="290"/>
        </w:trPr>
        <w:tc>
          <w:tcPr>
            <w:tcW w:w="1413" w:type="dxa"/>
            <w:noWrap/>
            <w:hideMark/>
          </w:tcPr>
          <w:p w14:paraId="117ADB9F"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31482227"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752FF4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617D06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AA22308"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926C52C" w14:textId="77777777" w:rsidR="00ED30D9" w:rsidRPr="007825CB" w:rsidRDefault="00ED30D9"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7F66E599"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9831CC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5F33A2F"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F0BF2A4"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868680E"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2B190F17" w14:textId="77777777" w:rsidTr="003E41E7">
        <w:trPr>
          <w:trHeight w:val="1448"/>
        </w:trPr>
        <w:tc>
          <w:tcPr>
            <w:tcW w:w="1413" w:type="dxa"/>
            <w:noWrap/>
            <w:hideMark/>
          </w:tcPr>
          <w:p w14:paraId="6932E27B"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60277F98"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656CE2C"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B3053AA"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80666E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8A61345" w14:textId="77777777" w:rsidR="00ED30D9" w:rsidRPr="007825CB" w:rsidRDefault="00ED30D9"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063DFAD6"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2CCA322"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F9B1C74"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C9F6476"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9DDBFEF"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6D246114" w14:textId="77777777" w:rsidTr="003E41E7">
        <w:trPr>
          <w:trHeight w:val="290"/>
        </w:trPr>
        <w:tc>
          <w:tcPr>
            <w:tcW w:w="1413" w:type="dxa"/>
            <w:noWrap/>
            <w:hideMark/>
          </w:tcPr>
          <w:p w14:paraId="7B64A1F8"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5EA6A54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A1F43C6"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C77D87F"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CB96A9B"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03BC0C7" w14:textId="77777777" w:rsidR="00ED30D9" w:rsidRPr="007825CB" w:rsidRDefault="00ED30D9"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3F5F97E4"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152DA92"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297FD96"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BE84892"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934E43A"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rsidRPr="001F3911" w14:paraId="3C4615B8" w14:textId="77777777" w:rsidTr="003E41E7">
        <w:trPr>
          <w:trHeight w:val="290"/>
        </w:trPr>
        <w:tc>
          <w:tcPr>
            <w:tcW w:w="9062" w:type="dxa"/>
            <w:gridSpan w:val="3"/>
            <w:noWrap/>
          </w:tcPr>
          <w:p w14:paraId="27AD3E91" w14:textId="77777777" w:rsidR="00ED30D9" w:rsidRPr="001F3911" w:rsidRDefault="00ED30D9"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ED30D9" w14:paraId="5665A4E6"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67BC13E6"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3554598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FFAD33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48538D9"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5E2B746"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59DB51F"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E3A450B"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C77AE96"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671601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67F797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364A047"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022B3BF2"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1473F4FB"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v7 CARDIOLAB</w:t>
            </w:r>
          </w:p>
        </w:tc>
        <w:tc>
          <w:tcPr>
            <w:tcW w:w="5953" w:type="dxa"/>
            <w:tcBorders>
              <w:top w:val="single" w:sz="4" w:space="0" w:color="auto"/>
              <w:left w:val="single" w:sz="4" w:space="0" w:color="auto"/>
              <w:bottom w:val="single" w:sz="4" w:space="0" w:color="auto"/>
              <w:right w:val="single" w:sz="4" w:space="0" w:color="auto"/>
            </w:tcBorders>
          </w:tcPr>
          <w:p w14:paraId="3F8A0A77"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DC0436F"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3E7C8C0"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E0D35E8"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BD9DC0C"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7FDB9F3B"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1303-86-2</w:t>
            </w:r>
          </w:p>
          <w:p w14:paraId="2778A9B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B12F6E4"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1317-36-8</w:t>
            </w:r>
          </w:p>
          <w:p w14:paraId="019671E2"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039B918B"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1B6F0FA6"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4FA76599"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MAC-LAB</w:t>
            </w:r>
          </w:p>
        </w:tc>
        <w:tc>
          <w:tcPr>
            <w:tcW w:w="5953" w:type="dxa"/>
            <w:tcBorders>
              <w:top w:val="single" w:sz="4" w:space="0" w:color="auto"/>
              <w:left w:val="single" w:sz="4" w:space="0" w:color="auto"/>
              <w:bottom w:val="single" w:sz="4" w:space="0" w:color="auto"/>
              <w:right w:val="single" w:sz="4" w:space="0" w:color="auto"/>
            </w:tcBorders>
          </w:tcPr>
          <w:p w14:paraId="63F17F5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2B01DED"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978F2B2"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003A28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6800039"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47954DF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5DDE77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D0559B4"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14F454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9227F00"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rsidRPr="001F3911" w14:paraId="0F8C1F5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0EB820C9" w14:textId="77777777" w:rsidR="00ED30D9" w:rsidRDefault="00ED30D9"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48CE6B74"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31FD0FF7"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545A53DE"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28503D06"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2941CCB3" w14:textId="77777777" w:rsidR="00ED30D9" w:rsidRPr="001F3911"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5C56A75F"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035FD822"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0EF3440E"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25868D4D"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35E79000" w14:textId="77777777" w:rsidR="00ED30D9" w:rsidRPr="001F3911"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ED30D9" w14:paraId="21AC38FE"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0D9B80E3"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ED30D9" w14:paraId="7A2C095D"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67132869"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65023090"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00DFE26"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3DBB89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F4663CF"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A6FD0F2"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6EAF9819"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16ADC29"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B8CEC1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849BDA4"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FFD1884"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BA254EC"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5DA0BAD3"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4EBE5D60"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6703764"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1A099B8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DA00CE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01B5CED"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4C89856"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0E88E37A"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348B8514"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77D2E39"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863385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1764B10"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22A6147"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EE2D109"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1E7A23DB"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443ED3EC"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8111D63"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43A16649"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1DDDA29"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7070FFD"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4FD467C"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385DA43"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011326AB"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56BF17E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C05ECEF"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A5F929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F86CDB9"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18EEE26"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23530DA2"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720B5CE4" w14:textId="77777777" w:rsidR="00636C30" w:rsidRDefault="00636C30" w:rsidP="00636C30">
      <w:pPr>
        <w:rPr>
          <w:rFonts w:asciiTheme="majorHAnsi" w:hAnsiTheme="majorHAnsi" w:cstheme="majorHAnsi"/>
        </w:rPr>
      </w:pPr>
    </w:p>
    <w:p w14:paraId="1F2328B6" w14:textId="77777777" w:rsidR="001D2DAA" w:rsidRDefault="001D2DAA" w:rsidP="001D2DAA">
      <w:pPr>
        <w:rPr>
          <w:rFonts w:asciiTheme="majorHAnsi" w:hAnsiTheme="majorHAnsi" w:cstheme="majorHAnsi"/>
        </w:rPr>
      </w:pPr>
    </w:p>
    <w:p w14:paraId="22DD98AC" w14:textId="77777777" w:rsidR="001D2DAA" w:rsidRDefault="001D2DAA" w:rsidP="001D2DAA">
      <w:pPr>
        <w:rPr>
          <w:rFonts w:asciiTheme="majorHAnsi" w:hAnsiTheme="majorHAnsi" w:cstheme="majorHAnsi"/>
        </w:rPr>
      </w:pPr>
      <w:r>
        <w:rPr>
          <w:rFonts w:asciiTheme="majorHAnsi" w:hAnsiTheme="majorHAnsi" w:cstheme="majorHAnsi"/>
        </w:rPr>
        <w:br w:type="page"/>
      </w:r>
    </w:p>
    <w:p w14:paraId="20F22577"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04940BFE"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3E9CC6DF"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1F862A50"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7911F59B"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41084481"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7538D2D1"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1FFC807B"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34D9BF88"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20959DDF"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26D64935"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05C33DE4"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2E29F9D1"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1B61A44A"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0BE86AC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6E55EBA0"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713D38F5"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3ECB8A21" w14:textId="77777777" w:rsidR="001D2DAA" w:rsidRPr="00977090" w:rsidRDefault="001D2DAA" w:rsidP="001D2DAA">
      <w:pPr>
        <w:pStyle w:val="Default"/>
        <w:rPr>
          <w:rFonts w:asciiTheme="majorHAnsi" w:hAnsiTheme="majorHAnsi" w:cstheme="majorHAnsi"/>
          <w:color w:val="auto"/>
          <w:sz w:val="22"/>
          <w:szCs w:val="22"/>
        </w:rPr>
      </w:pPr>
    </w:p>
    <w:p w14:paraId="217EF7A5" w14:textId="77777777" w:rsidR="00BE6831" w:rsidRPr="006F53B6" w:rsidRDefault="00BE6831" w:rsidP="006F53B6">
      <w:pPr>
        <w:spacing w:after="0"/>
        <w:jc w:val="both"/>
        <w:rPr>
          <w:rFonts w:asciiTheme="majorHAnsi" w:hAnsiTheme="majorHAnsi" w:cstheme="majorHAnsi"/>
        </w:rPr>
      </w:pPr>
      <w:r w:rsidRPr="006F53B6">
        <w:rPr>
          <w:rFonts w:asciiTheme="majorHAnsi" w:hAnsiTheme="majorHAnsi" w:cstheme="majorHAnsi"/>
        </w:rPr>
        <w:t xml:space="preserve">GE Healthcare </w:t>
      </w:r>
      <w:proofErr w:type="spellStart"/>
      <w:r w:rsidRPr="006F53B6">
        <w:rPr>
          <w:rFonts w:asciiTheme="majorHAnsi" w:hAnsiTheme="majorHAnsi" w:cstheme="majorHAnsi"/>
        </w:rPr>
        <w:t>takaa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yhdessä</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tavarantoimittajiensa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kanssa</w:t>
      </w:r>
      <w:proofErr w:type="spellEnd"/>
      <w:r w:rsidRPr="006F53B6">
        <w:rPr>
          <w:rFonts w:asciiTheme="majorHAnsi" w:hAnsiTheme="majorHAnsi" w:cstheme="majorHAnsi"/>
        </w:rPr>
        <w:t xml:space="preserve"> REACH-</w:t>
      </w:r>
      <w:proofErr w:type="spellStart"/>
      <w:r w:rsidRPr="006F53B6">
        <w:rPr>
          <w:rFonts w:asciiTheme="majorHAnsi" w:hAnsiTheme="majorHAnsi" w:cstheme="majorHAnsi"/>
        </w:rPr>
        <w:t>asetuksen</w:t>
      </w:r>
      <w:proofErr w:type="spellEnd"/>
      <w:r w:rsidRPr="006F53B6">
        <w:rPr>
          <w:rFonts w:asciiTheme="majorHAnsi" w:hAnsiTheme="majorHAnsi" w:cstheme="majorHAnsi"/>
        </w:rPr>
        <w:t xml:space="preserve"> (EY N:o 1907/2006) 33 </w:t>
      </w:r>
      <w:proofErr w:type="spellStart"/>
      <w:r w:rsidRPr="006F53B6">
        <w:rPr>
          <w:rFonts w:asciiTheme="majorHAnsi" w:hAnsiTheme="majorHAnsi" w:cstheme="majorHAnsi"/>
        </w:rPr>
        <w:t>artiklan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alaisten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Euroopan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unionista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tuotujen</w:t>
      </w:r>
      <w:proofErr w:type="spellEnd"/>
      <w:r w:rsidRPr="006F53B6">
        <w:rPr>
          <w:rFonts w:asciiTheme="majorHAnsi" w:hAnsiTheme="majorHAnsi" w:cstheme="majorHAnsi"/>
        </w:rPr>
        <w:t xml:space="preserve"> tai </w:t>
      </w:r>
      <w:proofErr w:type="spellStart"/>
      <w:r w:rsidRPr="006F53B6">
        <w:rPr>
          <w:rFonts w:asciiTheme="majorHAnsi" w:hAnsiTheme="majorHAnsi" w:cstheme="majorHAnsi"/>
        </w:rPr>
        <w:t>sen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alueella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valmistettujen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sekä</w:t>
      </w:r>
      <w:proofErr w:type="spellEnd"/>
      <w:r w:rsidRPr="006F53B6">
        <w:rPr>
          <w:rFonts w:asciiTheme="majorHAnsi" w:hAnsiTheme="majorHAnsi" w:cstheme="majorHAnsi"/>
        </w:rPr>
        <w:t xml:space="preserve"> GE </w:t>
      </w:r>
      <w:proofErr w:type="spellStart"/>
      <w:r w:rsidRPr="006F53B6">
        <w:rPr>
          <w:rFonts w:asciiTheme="majorHAnsi" w:hAnsiTheme="majorHAnsi" w:cstheme="majorHAnsi"/>
        </w:rPr>
        <w:t>Healthcaren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tuotteiden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valmistuksessa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käytettyjen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tuotteiden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säädöstenmukaisuuden</w:t>
      </w:r>
      <w:proofErr w:type="spellEnd"/>
      <w:r w:rsidRPr="006F53B6">
        <w:rPr>
          <w:rFonts w:asciiTheme="majorHAnsi" w:hAnsiTheme="majorHAnsi" w:cstheme="majorHAnsi"/>
        </w:rPr>
        <w:t xml:space="preserve">. </w:t>
      </w:r>
    </w:p>
    <w:p w14:paraId="1EEF3EC0" w14:textId="77777777" w:rsidR="00BE6831" w:rsidRPr="006F53B6" w:rsidRDefault="00BE6831" w:rsidP="006F53B6">
      <w:pPr>
        <w:spacing w:after="0"/>
        <w:jc w:val="both"/>
        <w:rPr>
          <w:rFonts w:asciiTheme="majorHAnsi" w:hAnsiTheme="majorHAnsi" w:cstheme="majorHAnsi"/>
        </w:rPr>
      </w:pPr>
      <w:proofErr w:type="spellStart"/>
      <w:r w:rsidRPr="006F53B6">
        <w:rPr>
          <w:rFonts w:asciiTheme="majorHAnsi" w:hAnsiTheme="majorHAnsi" w:cstheme="majorHAnsi"/>
        </w:rPr>
        <w:t>Koskien</w:t>
      </w:r>
      <w:proofErr w:type="spellEnd"/>
      <w:r w:rsidRPr="006F53B6">
        <w:rPr>
          <w:rFonts w:asciiTheme="majorHAnsi" w:hAnsiTheme="majorHAnsi" w:cstheme="majorHAnsi"/>
        </w:rPr>
        <w:t xml:space="preserve"> REACH-</w:t>
      </w:r>
      <w:proofErr w:type="spellStart"/>
      <w:r w:rsidRPr="006F53B6">
        <w:rPr>
          <w:rFonts w:asciiTheme="majorHAnsi" w:hAnsiTheme="majorHAnsi" w:cstheme="majorHAnsi"/>
        </w:rPr>
        <w:t>asetuksen</w:t>
      </w:r>
      <w:proofErr w:type="spellEnd"/>
      <w:r w:rsidRPr="006F53B6">
        <w:rPr>
          <w:rFonts w:asciiTheme="majorHAnsi" w:hAnsiTheme="majorHAnsi" w:cstheme="majorHAnsi"/>
        </w:rPr>
        <w:t xml:space="preserve"> 33 </w:t>
      </w:r>
      <w:proofErr w:type="spellStart"/>
      <w:r w:rsidRPr="006F53B6">
        <w:rPr>
          <w:rFonts w:asciiTheme="majorHAnsi" w:hAnsiTheme="majorHAnsi" w:cstheme="majorHAnsi"/>
        </w:rPr>
        <w:t>artiklan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toimeenpanoa</w:t>
      </w:r>
      <w:proofErr w:type="spellEnd"/>
      <w:r w:rsidRPr="006F53B6">
        <w:rPr>
          <w:rFonts w:asciiTheme="majorHAnsi" w:hAnsiTheme="majorHAnsi" w:cstheme="majorHAnsi"/>
        </w:rPr>
        <w:t xml:space="preserve"> ja REACH-</w:t>
      </w:r>
      <w:proofErr w:type="spellStart"/>
      <w:r w:rsidRPr="006F53B6">
        <w:rPr>
          <w:rFonts w:asciiTheme="majorHAnsi" w:hAnsiTheme="majorHAnsi" w:cstheme="majorHAnsi"/>
        </w:rPr>
        <w:t>asetuksen</w:t>
      </w:r>
      <w:proofErr w:type="spellEnd"/>
      <w:r w:rsidRPr="006F53B6">
        <w:rPr>
          <w:rFonts w:asciiTheme="majorHAnsi" w:hAnsiTheme="majorHAnsi" w:cstheme="majorHAnsi"/>
        </w:rPr>
        <w:t xml:space="preserve"> 59 </w:t>
      </w:r>
      <w:proofErr w:type="spellStart"/>
      <w:r w:rsidRPr="006F53B6">
        <w:rPr>
          <w:rFonts w:asciiTheme="majorHAnsi" w:hAnsiTheme="majorHAnsi" w:cstheme="majorHAnsi"/>
        </w:rPr>
        <w:t>artiklan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mukaisesti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julkaistua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Ehdokasluetteloa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erityistä</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huolta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aiheuttavista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aineista</w:t>
      </w:r>
      <w:proofErr w:type="spellEnd"/>
      <w:r w:rsidRPr="006F53B6">
        <w:rPr>
          <w:rFonts w:asciiTheme="majorHAnsi" w:hAnsiTheme="majorHAnsi" w:cstheme="majorHAnsi"/>
        </w:rPr>
        <w:t xml:space="preserve"> (Candidate List of Substances of Very High Concern, SVHC) GE Healthcare </w:t>
      </w:r>
      <w:proofErr w:type="spellStart"/>
      <w:r w:rsidRPr="006F53B6">
        <w:rPr>
          <w:rFonts w:asciiTheme="majorHAnsi" w:hAnsiTheme="majorHAnsi" w:cstheme="majorHAnsi"/>
        </w:rPr>
        <w:t>tietää</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lakisääteiset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velvollisuutensa</w:t>
      </w:r>
      <w:proofErr w:type="spellEnd"/>
      <w:r w:rsidRPr="006F53B6">
        <w:rPr>
          <w:rFonts w:asciiTheme="majorHAnsi" w:hAnsiTheme="majorHAnsi" w:cstheme="majorHAnsi"/>
        </w:rPr>
        <w:t xml:space="preserve"> ja </w:t>
      </w:r>
      <w:proofErr w:type="spellStart"/>
      <w:r w:rsidRPr="006F53B6">
        <w:rPr>
          <w:rFonts w:asciiTheme="majorHAnsi" w:hAnsiTheme="majorHAnsi" w:cstheme="majorHAnsi"/>
        </w:rPr>
        <w:t>noudattaa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niitä</w:t>
      </w:r>
      <w:proofErr w:type="spellEnd"/>
      <w:r w:rsidRPr="006F53B6">
        <w:rPr>
          <w:rFonts w:asciiTheme="majorHAnsi" w:hAnsiTheme="majorHAnsi" w:cstheme="majorHAnsi"/>
        </w:rPr>
        <w:t xml:space="preserve">. </w:t>
      </w:r>
    </w:p>
    <w:p w14:paraId="5B46FC01" w14:textId="192FFAEC" w:rsidR="00BE6831" w:rsidRPr="006F53B6" w:rsidRDefault="00BE6831" w:rsidP="006F53B6">
      <w:pPr>
        <w:spacing w:after="0"/>
        <w:jc w:val="both"/>
        <w:rPr>
          <w:rFonts w:asciiTheme="majorHAnsi" w:hAnsiTheme="majorHAnsi" w:cstheme="majorHAnsi"/>
        </w:rPr>
      </w:pPr>
      <w:r w:rsidRPr="006F53B6">
        <w:rPr>
          <w:rFonts w:asciiTheme="majorHAnsi" w:hAnsiTheme="majorHAnsi" w:cstheme="majorHAnsi"/>
        </w:rPr>
        <w:t xml:space="preserve">GE </w:t>
      </w:r>
      <w:proofErr w:type="spellStart"/>
      <w:r w:rsidRPr="006F53B6">
        <w:rPr>
          <w:rFonts w:asciiTheme="majorHAnsi" w:hAnsiTheme="majorHAnsi" w:cstheme="majorHAnsi"/>
        </w:rPr>
        <w:t>Healthcaren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tuotteista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ei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tarkoituksellisesti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vapaudu</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aineita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normaaleissa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käyttöolosuhteissa</w:t>
      </w:r>
      <w:proofErr w:type="spellEnd"/>
      <w:r w:rsidRPr="006F53B6">
        <w:rPr>
          <w:rFonts w:asciiTheme="majorHAnsi" w:hAnsiTheme="majorHAnsi" w:cstheme="majorHAnsi"/>
        </w:rPr>
        <w:t xml:space="preserve">. </w:t>
      </w:r>
    </w:p>
    <w:p w14:paraId="4D3E8B4D" w14:textId="50E59674" w:rsidR="001D2DAA" w:rsidRPr="006F53B6" w:rsidRDefault="00557516" w:rsidP="006F53B6">
      <w:pPr>
        <w:spacing w:after="0"/>
        <w:jc w:val="both"/>
        <w:rPr>
          <w:rFonts w:asciiTheme="majorHAnsi" w:hAnsiTheme="majorHAnsi" w:cstheme="majorHAnsi"/>
        </w:rPr>
      </w:pPr>
      <w:proofErr w:type="spellStart"/>
      <w:r w:rsidRPr="006F53B6">
        <w:rPr>
          <w:rFonts w:asciiTheme="majorHAnsi" w:hAnsiTheme="majorHAnsi" w:cstheme="majorHAnsi"/>
        </w:rPr>
        <w:t>Tavarantoimittajilta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näiden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tietojen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julkaisuajankohtaan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mennessä</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saatujen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tietojen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perusteella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kyseisten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aineiden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pitoisuus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saattaa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ylittää</w:t>
      </w:r>
      <w:proofErr w:type="spellEnd"/>
      <w:r w:rsidRPr="006F53B6">
        <w:rPr>
          <w:rFonts w:asciiTheme="majorHAnsi" w:hAnsiTheme="majorHAnsi" w:cstheme="majorHAnsi"/>
        </w:rPr>
        <w:t xml:space="preserve"> 0,1 </w:t>
      </w:r>
      <w:proofErr w:type="spellStart"/>
      <w:r w:rsidRPr="006F53B6">
        <w:rPr>
          <w:rFonts w:asciiTheme="majorHAnsi" w:hAnsiTheme="majorHAnsi" w:cstheme="majorHAnsi"/>
        </w:rPr>
        <w:t>painoprosentin</w:t>
      </w:r>
      <w:proofErr w:type="spellEnd"/>
      <w:r w:rsidRPr="006F53B6">
        <w:rPr>
          <w:rFonts w:asciiTheme="majorHAnsi" w:hAnsiTheme="majorHAnsi" w:cstheme="majorHAnsi"/>
        </w:rPr>
        <w:t xml:space="preserve"> raja-</w:t>
      </w:r>
      <w:proofErr w:type="spellStart"/>
      <w:r w:rsidRPr="006F53B6">
        <w:rPr>
          <w:rFonts w:asciiTheme="majorHAnsi" w:hAnsiTheme="majorHAnsi" w:cstheme="majorHAnsi"/>
        </w:rPr>
        <w:t>arvon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esinettä</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kohden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seuraavissa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tuotteissa</w:t>
      </w:r>
      <w:proofErr w:type="spellEnd"/>
      <w:r w:rsidRPr="006F53B6">
        <w:rPr>
          <w:rFonts w:asciiTheme="majorHAnsi" w:hAnsiTheme="majorHAnsi" w:cstheme="majorHAnsi"/>
        </w:rPr>
        <w:t>:</w:t>
      </w:r>
    </w:p>
    <w:p w14:paraId="7372FA1D" w14:textId="77777777" w:rsidR="00BE6831" w:rsidRPr="006706BE" w:rsidRDefault="00BE6831" w:rsidP="00BE6831">
      <w:pPr>
        <w:rPr>
          <w:rFonts w:asciiTheme="majorHAnsi" w:hAnsiTheme="majorHAnsi" w:cstheme="majorHAnsi"/>
          <w:color w:val="ED7D31" w:themeColor="accent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696"/>
      </w:tblGrid>
      <w:tr w:rsidR="001D2DAA" w:rsidRPr="005F0E6A" w14:paraId="580D3828" w14:textId="77777777" w:rsidTr="00241A44">
        <w:trPr>
          <w:trHeight w:val="290"/>
        </w:trPr>
        <w:tc>
          <w:tcPr>
            <w:tcW w:w="1413" w:type="dxa"/>
            <w:noWrap/>
          </w:tcPr>
          <w:p w14:paraId="1CF20F04" w14:textId="77777777" w:rsidR="001D2DAA" w:rsidRPr="006F53B6" w:rsidRDefault="00BE6831"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Tuotteen</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nimi</w:t>
            </w:r>
            <w:proofErr w:type="spellEnd"/>
          </w:p>
        </w:tc>
        <w:tc>
          <w:tcPr>
            <w:tcW w:w="5953" w:type="dxa"/>
          </w:tcPr>
          <w:p w14:paraId="0D36D643" w14:textId="77777777" w:rsidR="001D2DAA" w:rsidRPr="006F53B6" w:rsidRDefault="00BE6831"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Aineen</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nimi</w:t>
            </w:r>
            <w:proofErr w:type="spellEnd"/>
          </w:p>
        </w:tc>
        <w:tc>
          <w:tcPr>
            <w:tcW w:w="1696" w:type="dxa"/>
          </w:tcPr>
          <w:p w14:paraId="0BC67899" w14:textId="77777777" w:rsidR="001D2DAA" w:rsidRPr="006F53B6" w:rsidRDefault="00BE6831" w:rsidP="005A2C7D">
            <w:pPr>
              <w:spacing w:after="0" w:line="240" w:lineRule="auto"/>
              <w:rPr>
                <w:rFonts w:asciiTheme="majorHAnsi" w:hAnsiTheme="majorHAnsi" w:cstheme="majorHAnsi"/>
                <w:b/>
                <w:bCs/>
                <w:lang w:val="fr-FR"/>
              </w:rPr>
            </w:pPr>
            <w:r w:rsidRPr="006F53B6">
              <w:rPr>
                <w:rFonts w:asciiTheme="majorHAnsi" w:hAnsiTheme="majorHAnsi" w:cstheme="majorHAnsi"/>
                <w:b/>
                <w:bCs/>
                <w:lang w:val="fr-FR"/>
              </w:rPr>
              <w:t>CAS-</w:t>
            </w:r>
            <w:proofErr w:type="spellStart"/>
            <w:r w:rsidRPr="006F53B6">
              <w:rPr>
                <w:rFonts w:asciiTheme="majorHAnsi" w:hAnsiTheme="majorHAnsi" w:cstheme="majorHAnsi"/>
                <w:b/>
                <w:bCs/>
                <w:lang w:val="fr-FR"/>
              </w:rPr>
              <w:t>nro</w:t>
            </w:r>
            <w:proofErr w:type="spellEnd"/>
          </w:p>
        </w:tc>
      </w:tr>
      <w:tr w:rsidR="00ED30D9" w:rsidRPr="00B93A55" w14:paraId="497977CA" w14:textId="77777777" w:rsidTr="003E41E7">
        <w:trPr>
          <w:trHeight w:val="290"/>
        </w:trPr>
        <w:tc>
          <w:tcPr>
            <w:tcW w:w="9062" w:type="dxa"/>
            <w:gridSpan w:val="3"/>
            <w:noWrap/>
          </w:tcPr>
          <w:p w14:paraId="0068A473" w14:textId="77777777" w:rsidR="00ED30D9" w:rsidRPr="00B93A55" w:rsidRDefault="00ED30D9"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ED30D9" w14:paraId="3D295859" w14:textId="77777777" w:rsidTr="003E41E7">
        <w:trPr>
          <w:trHeight w:val="290"/>
        </w:trPr>
        <w:tc>
          <w:tcPr>
            <w:tcW w:w="1413" w:type="dxa"/>
            <w:noWrap/>
            <w:hideMark/>
          </w:tcPr>
          <w:p w14:paraId="53F55A13"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953" w:type="dxa"/>
          </w:tcPr>
          <w:p w14:paraId="068D5D07"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78368C0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FA65150"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A8A5E94"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95B188C" w14:textId="77777777" w:rsidR="00ED30D9" w:rsidRPr="007825CB" w:rsidRDefault="00ED30D9"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36C9A952"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71718F5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2C960E86"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3B7EA72"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11A9E0FF"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3CA3CBBA" w14:textId="77777777" w:rsidTr="003E41E7">
        <w:trPr>
          <w:trHeight w:val="1448"/>
        </w:trPr>
        <w:tc>
          <w:tcPr>
            <w:tcW w:w="1413" w:type="dxa"/>
            <w:noWrap/>
            <w:hideMark/>
          </w:tcPr>
          <w:p w14:paraId="762F33A2"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953" w:type="dxa"/>
          </w:tcPr>
          <w:p w14:paraId="0BDCBDDF"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E6CDCC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15E335B"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5E4EFF8"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AD6C2A1" w14:textId="77777777" w:rsidR="00ED30D9" w:rsidRPr="007825CB" w:rsidRDefault="00ED30D9"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0BF5638C"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FF8A928"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17E3F51"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34FF3D2"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D49A09E"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3ECEB72A" w14:textId="77777777" w:rsidTr="003E41E7">
        <w:trPr>
          <w:trHeight w:val="290"/>
        </w:trPr>
        <w:tc>
          <w:tcPr>
            <w:tcW w:w="1413" w:type="dxa"/>
            <w:noWrap/>
            <w:hideMark/>
          </w:tcPr>
          <w:p w14:paraId="72CB81FF"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953" w:type="dxa"/>
          </w:tcPr>
          <w:p w14:paraId="04471544"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6078E79"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AF17758"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7C7C5E6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A3F9EA4" w14:textId="77777777" w:rsidR="00ED30D9" w:rsidRPr="007825CB" w:rsidRDefault="00ED30D9"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Pr>
          <w:p w14:paraId="05B5DD0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CEC70F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5B77CE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B3F0EA4"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D21A548"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rsidRPr="001F3911" w14:paraId="3CB84A1A" w14:textId="77777777" w:rsidTr="003E41E7">
        <w:trPr>
          <w:trHeight w:val="290"/>
        </w:trPr>
        <w:tc>
          <w:tcPr>
            <w:tcW w:w="9062" w:type="dxa"/>
            <w:gridSpan w:val="3"/>
            <w:noWrap/>
          </w:tcPr>
          <w:p w14:paraId="1B55916A" w14:textId="77777777" w:rsidR="00ED30D9" w:rsidRPr="001F3911" w:rsidRDefault="00ED30D9"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ED30D9" w14:paraId="5B63E4C5"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04FFA2F0"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953" w:type="dxa"/>
            <w:tcBorders>
              <w:top w:val="single" w:sz="4" w:space="0" w:color="auto"/>
              <w:left w:val="single" w:sz="4" w:space="0" w:color="auto"/>
              <w:bottom w:val="single" w:sz="4" w:space="0" w:color="auto"/>
              <w:right w:val="single" w:sz="4" w:space="0" w:color="auto"/>
            </w:tcBorders>
          </w:tcPr>
          <w:p w14:paraId="5E1A7C58"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9212DC9"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48E64E7D"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65DDC6A"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9DDA188"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68A9BC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E86CBB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4418AE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2179FFDB"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605942C8"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1C969897"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224C4BE9"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953" w:type="dxa"/>
            <w:tcBorders>
              <w:top w:val="single" w:sz="4" w:space="0" w:color="auto"/>
              <w:left w:val="single" w:sz="4" w:space="0" w:color="auto"/>
              <w:bottom w:val="single" w:sz="4" w:space="0" w:color="auto"/>
              <w:right w:val="single" w:sz="4" w:space="0" w:color="auto"/>
            </w:tcBorders>
          </w:tcPr>
          <w:p w14:paraId="6408E429"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425F3C7"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F05EEEF"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1AC384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6F762D7"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3B97BFA7"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7A0329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67C10120"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2550CA7"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3D34F50"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17BB9115"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58689B3E"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953" w:type="dxa"/>
            <w:tcBorders>
              <w:top w:val="single" w:sz="4" w:space="0" w:color="auto"/>
              <w:left w:val="single" w:sz="4" w:space="0" w:color="auto"/>
              <w:bottom w:val="single" w:sz="4" w:space="0" w:color="auto"/>
              <w:right w:val="single" w:sz="4" w:space="0" w:color="auto"/>
            </w:tcBorders>
          </w:tcPr>
          <w:p w14:paraId="401870D1"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04ACCCDC"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743BB99C"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324C7D86"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B784E3A"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115DEB07"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B0E2ADB"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98F000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E01F387"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BE83EBB"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rsidRPr="001F3911" w14:paraId="1D1B7287"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tcPr>
          <w:p w14:paraId="11B9A3EE" w14:textId="77777777" w:rsidR="00ED30D9" w:rsidRDefault="00ED30D9"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953" w:type="dxa"/>
            <w:tcBorders>
              <w:top w:val="single" w:sz="4" w:space="0" w:color="auto"/>
              <w:left w:val="single" w:sz="4" w:space="0" w:color="auto"/>
              <w:bottom w:val="single" w:sz="4" w:space="0" w:color="auto"/>
              <w:right w:val="single" w:sz="4" w:space="0" w:color="auto"/>
            </w:tcBorders>
          </w:tcPr>
          <w:p w14:paraId="19D29803"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3F1E678F"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0C77A2D5"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64AE7C99"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14EEF4C4" w14:textId="77777777" w:rsidR="00ED30D9" w:rsidRPr="001F3911"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E30CE5C"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21695A05"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61AF26F0"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1775BD13"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1AE34D5C" w14:textId="77777777" w:rsidR="00ED30D9" w:rsidRPr="001F3911"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ED30D9" w14:paraId="08A84F62"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4105700C"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ED30D9" w14:paraId="18FE9E5A"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3BFA1FF8"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953" w:type="dxa"/>
            <w:tcBorders>
              <w:top w:val="single" w:sz="4" w:space="0" w:color="auto"/>
              <w:left w:val="single" w:sz="4" w:space="0" w:color="auto"/>
              <w:bottom w:val="single" w:sz="4" w:space="0" w:color="auto"/>
              <w:right w:val="single" w:sz="4" w:space="0" w:color="auto"/>
            </w:tcBorders>
          </w:tcPr>
          <w:p w14:paraId="05A93DDF"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8B7402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924A4C2"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DD16DBC"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66B952B"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18468497"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645952F8"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51D0E430"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55CED516"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AD18A0D"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3AA057D"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3CA1747C"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4B5C4360"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7B0DAC59"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953" w:type="dxa"/>
            <w:tcBorders>
              <w:top w:val="single" w:sz="4" w:space="0" w:color="auto"/>
              <w:left w:val="single" w:sz="4" w:space="0" w:color="auto"/>
              <w:bottom w:val="single" w:sz="4" w:space="0" w:color="auto"/>
              <w:right w:val="single" w:sz="4" w:space="0" w:color="auto"/>
            </w:tcBorders>
          </w:tcPr>
          <w:p w14:paraId="5699C160"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639C6134"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14A0639"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0FDD75A1"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3DF64874"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2C465A81"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20AC641"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26478B8"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377DACD"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1811A78B"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8553464"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77C7E9AB"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6EBBEE36" w14:textId="77777777" w:rsidTr="003E41E7">
        <w:trPr>
          <w:trHeight w:val="290"/>
        </w:trPr>
        <w:tc>
          <w:tcPr>
            <w:tcW w:w="1413" w:type="dxa"/>
            <w:tcBorders>
              <w:top w:val="single" w:sz="4" w:space="0" w:color="auto"/>
              <w:left w:val="single" w:sz="4" w:space="0" w:color="auto"/>
              <w:bottom w:val="single" w:sz="4" w:space="0" w:color="auto"/>
              <w:right w:val="single" w:sz="4" w:space="0" w:color="auto"/>
            </w:tcBorders>
            <w:noWrap/>
            <w:hideMark/>
          </w:tcPr>
          <w:p w14:paraId="2D919643"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953" w:type="dxa"/>
            <w:tcBorders>
              <w:top w:val="single" w:sz="4" w:space="0" w:color="auto"/>
              <w:left w:val="single" w:sz="4" w:space="0" w:color="auto"/>
              <w:bottom w:val="single" w:sz="4" w:space="0" w:color="auto"/>
              <w:right w:val="single" w:sz="4" w:space="0" w:color="auto"/>
            </w:tcBorders>
          </w:tcPr>
          <w:p w14:paraId="453E60C1"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0512B2D8"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963BD12"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25922A5"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092FC3D"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51E3AA5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6" w:type="dxa"/>
            <w:tcBorders>
              <w:top w:val="single" w:sz="4" w:space="0" w:color="auto"/>
              <w:left w:val="single" w:sz="4" w:space="0" w:color="auto"/>
              <w:bottom w:val="single" w:sz="4" w:space="0" w:color="auto"/>
              <w:right w:val="single" w:sz="4" w:space="0" w:color="auto"/>
            </w:tcBorders>
          </w:tcPr>
          <w:p w14:paraId="260BBBE1"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2B33778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07CAF1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7A55B84E"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58C75F5"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389607F4"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48E204A3" w14:textId="77777777" w:rsidR="00241A44" w:rsidRDefault="00241A44" w:rsidP="00241A44">
      <w:pPr>
        <w:rPr>
          <w:rFonts w:asciiTheme="majorHAnsi" w:hAnsiTheme="majorHAnsi" w:cstheme="majorHAnsi"/>
        </w:rPr>
      </w:pPr>
    </w:p>
    <w:p w14:paraId="3E835CC3" w14:textId="77777777" w:rsidR="001D2DAA" w:rsidRDefault="001D2DAA" w:rsidP="001D2DAA">
      <w:pPr>
        <w:rPr>
          <w:rFonts w:asciiTheme="majorHAnsi" w:hAnsiTheme="majorHAnsi" w:cstheme="majorHAnsi"/>
        </w:rPr>
      </w:pPr>
    </w:p>
    <w:p w14:paraId="508A7370" w14:textId="77777777" w:rsidR="001D2DAA" w:rsidRDefault="001D2DAA" w:rsidP="001D2DAA">
      <w:pPr>
        <w:rPr>
          <w:rFonts w:asciiTheme="majorHAnsi" w:hAnsiTheme="majorHAnsi" w:cstheme="majorHAnsi"/>
        </w:rPr>
      </w:pPr>
      <w:r>
        <w:rPr>
          <w:rFonts w:asciiTheme="majorHAnsi" w:hAnsiTheme="majorHAnsi" w:cstheme="majorHAnsi"/>
        </w:rPr>
        <w:br w:type="page"/>
      </w:r>
    </w:p>
    <w:p w14:paraId="67E78C68"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b/>
          <w:bCs/>
          <w:color w:val="404040" w:themeColor="text1" w:themeTint="BF"/>
          <w:sz w:val="16"/>
          <w:szCs w:val="16"/>
        </w:rPr>
        <w:lastRenderedPageBreak/>
        <w:tab/>
        <w:t xml:space="preserve">Surya </w:t>
      </w:r>
      <w:proofErr w:type="spellStart"/>
      <w:r w:rsidRPr="00977090">
        <w:rPr>
          <w:rFonts w:asciiTheme="majorHAnsi" w:hAnsiTheme="majorHAnsi" w:cstheme="majorHAnsi"/>
          <w:b/>
          <w:bCs/>
          <w:color w:val="404040" w:themeColor="text1" w:themeTint="BF"/>
          <w:sz w:val="16"/>
          <w:szCs w:val="16"/>
        </w:rPr>
        <w:t>Kunduri</w:t>
      </w:r>
      <w:proofErr w:type="spellEnd"/>
      <w:r w:rsidRPr="00977090">
        <w:rPr>
          <w:rFonts w:asciiTheme="majorHAnsi" w:hAnsiTheme="majorHAnsi" w:cstheme="majorHAnsi"/>
          <w:b/>
          <w:bCs/>
          <w:color w:val="404040" w:themeColor="text1" w:themeTint="BF"/>
          <w:sz w:val="16"/>
          <w:szCs w:val="16"/>
        </w:rPr>
        <w:t xml:space="preserve"> </w:t>
      </w:r>
    </w:p>
    <w:p w14:paraId="390252F7"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REACH Regulations Leader </w:t>
      </w:r>
    </w:p>
    <w:p w14:paraId="293597C3"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Product Compliance Engineering </w:t>
      </w:r>
    </w:p>
    <w:p w14:paraId="080BD901"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Suryadutt.Kunduri@ge.com </w:t>
      </w:r>
    </w:p>
    <w:p w14:paraId="4990A194"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color w:val="404040" w:themeColor="text1" w:themeTint="BF"/>
          <w:sz w:val="16"/>
          <w:szCs w:val="16"/>
        </w:rPr>
        <w:tab/>
        <w:t>M +33 664083106</w:t>
      </w:r>
    </w:p>
    <w:p w14:paraId="4C9376AB" w14:textId="77777777" w:rsidR="00ED30D9" w:rsidRPr="00977090" w:rsidRDefault="00ED30D9" w:rsidP="00ED30D9">
      <w:pPr>
        <w:pStyle w:val="Default"/>
        <w:tabs>
          <w:tab w:val="left" w:pos="6804"/>
        </w:tabs>
        <w:rPr>
          <w:rFonts w:asciiTheme="majorHAnsi" w:hAnsiTheme="majorHAnsi" w:cstheme="majorHAnsi"/>
          <w:color w:val="404040" w:themeColor="text1" w:themeTint="BF"/>
        </w:rPr>
      </w:pPr>
    </w:p>
    <w:p w14:paraId="503C5809"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b/>
          <w:bCs/>
          <w:color w:val="404040" w:themeColor="text1" w:themeTint="BF"/>
          <w:sz w:val="16"/>
          <w:szCs w:val="16"/>
        </w:rPr>
        <w:tab/>
      </w:r>
      <w:r>
        <w:rPr>
          <w:rFonts w:asciiTheme="majorHAnsi" w:hAnsiTheme="majorHAnsi" w:cstheme="majorHAnsi"/>
          <w:b/>
          <w:bCs/>
          <w:i/>
          <w:color w:val="404040" w:themeColor="text1" w:themeTint="BF"/>
          <w:sz w:val="16"/>
          <w:szCs w:val="16"/>
        </w:rPr>
        <w:t>Vivek Sachdev</w:t>
      </w:r>
      <w:r w:rsidRPr="00977090">
        <w:rPr>
          <w:rFonts w:asciiTheme="majorHAnsi" w:hAnsiTheme="majorHAnsi" w:cstheme="majorHAnsi"/>
          <w:b/>
          <w:bCs/>
          <w:i/>
          <w:color w:val="404040" w:themeColor="text1" w:themeTint="BF"/>
          <w:sz w:val="16"/>
          <w:szCs w:val="16"/>
        </w:rPr>
        <w:t xml:space="preserve"> </w:t>
      </w:r>
    </w:p>
    <w:p w14:paraId="360A29E9"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Engineering Manager</w:t>
      </w:r>
    </w:p>
    <w:p w14:paraId="3EF6A4EA"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1721739C"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sidRPr="00B93A55">
        <w:rPr>
          <w:rFonts w:asciiTheme="majorHAnsi" w:hAnsiTheme="majorHAnsi" w:cstheme="majorHAnsi"/>
          <w:i/>
          <w:color w:val="404040" w:themeColor="text1" w:themeTint="BF"/>
          <w:sz w:val="16"/>
          <w:szCs w:val="16"/>
        </w:rPr>
        <w:t>VivekSachdev@ge.com</w:t>
      </w:r>
    </w:p>
    <w:p w14:paraId="795CEFE6"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 xml:space="preserve">M </w:t>
      </w:r>
      <w:r w:rsidRPr="00193AC2">
        <w:rPr>
          <w:rFonts w:asciiTheme="majorHAnsi" w:hAnsiTheme="majorHAnsi" w:cstheme="majorHAnsi"/>
          <w:color w:val="404040" w:themeColor="text1" w:themeTint="BF"/>
          <w:sz w:val="16"/>
          <w:szCs w:val="16"/>
        </w:rPr>
        <w:t>+1 (414) 2178976</w:t>
      </w:r>
    </w:p>
    <w:p w14:paraId="7D6C4EA6"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p>
    <w:p w14:paraId="3F123F80"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Pr>
          <w:rFonts w:asciiTheme="majorHAnsi" w:hAnsiTheme="majorHAnsi" w:cstheme="majorHAnsi"/>
          <w:b/>
          <w:bCs/>
          <w:i/>
          <w:color w:val="404040" w:themeColor="text1" w:themeTint="BF"/>
          <w:sz w:val="16"/>
          <w:szCs w:val="16"/>
        </w:rPr>
        <w:tab/>
        <w:t>James T Turner</w:t>
      </w:r>
      <w:r w:rsidRPr="00977090">
        <w:rPr>
          <w:rFonts w:asciiTheme="majorHAnsi" w:hAnsiTheme="majorHAnsi" w:cstheme="majorHAnsi"/>
          <w:b/>
          <w:bCs/>
          <w:i/>
          <w:color w:val="404040" w:themeColor="text1" w:themeTint="BF"/>
          <w:sz w:val="16"/>
          <w:szCs w:val="16"/>
        </w:rPr>
        <w:t xml:space="preserve"> </w:t>
      </w:r>
    </w:p>
    <w:p w14:paraId="3A1ADB74" w14:textId="77777777" w:rsidR="00ED30D9" w:rsidRPr="00977090" w:rsidRDefault="00ED30D9" w:rsidP="00ED30D9">
      <w:pPr>
        <w:pStyle w:val="Default"/>
        <w:tabs>
          <w:tab w:val="left" w:pos="6804"/>
        </w:tabs>
        <w:rPr>
          <w:rFonts w:asciiTheme="majorHAnsi" w:hAnsiTheme="majorHAnsi" w:cstheme="majorHAnsi"/>
          <w: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color w:val="404040" w:themeColor="text1" w:themeTint="BF"/>
          <w:sz w:val="16"/>
          <w:szCs w:val="16"/>
        </w:rPr>
        <w:t>S</w:t>
      </w:r>
      <w:r w:rsidRPr="00931AEE">
        <w:rPr>
          <w:rFonts w:asciiTheme="majorHAnsi" w:hAnsiTheme="majorHAnsi" w:cstheme="majorHAnsi"/>
          <w:i/>
          <w:color w:val="404040" w:themeColor="text1" w:themeTint="BF"/>
          <w:sz w:val="16"/>
          <w:szCs w:val="16"/>
        </w:rPr>
        <w:t>enior Regulatory Affairs Manager</w:t>
      </w:r>
    </w:p>
    <w:p w14:paraId="3361D5B2"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Invasive Cardiology</w:t>
      </w:r>
      <w:r w:rsidRPr="00977090">
        <w:rPr>
          <w:rFonts w:asciiTheme="majorHAnsi" w:hAnsiTheme="majorHAnsi" w:cstheme="majorHAnsi"/>
          <w:color w:val="404040" w:themeColor="text1" w:themeTint="BF"/>
          <w:sz w:val="16"/>
          <w:szCs w:val="16"/>
        </w:rPr>
        <w:t xml:space="preserve"> </w:t>
      </w:r>
    </w:p>
    <w:p w14:paraId="4B4FDE5D" w14:textId="77777777" w:rsidR="00ED30D9" w:rsidRPr="00977090"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r>
      <w:r>
        <w:rPr>
          <w:rFonts w:asciiTheme="majorHAnsi" w:hAnsiTheme="majorHAnsi" w:cstheme="majorHAnsi"/>
          <w:i/>
          <w:color w:val="404040" w:themeColor="text1" w:themeTint="BF"/>
          <w:sz w:val="16"/>
          <w:szCs w:val="16"/>
        </w:rPr>
        <w:t>James.T.Turner</w:t>
      </w:r>
      <w:r w:rsidRPr="00B93A55">
        <w:rPr>
          <w:rFonts w:asciiTheme="majorHAnsi" w:hAnsiTheme="majorHAnsi" w:cstheme="majorHAnsi"/>
          <w:i/>
          <w:color w:val="404040" w:themeColor="text1" w:themeTint="BF"/>
          <w:sz w:val="16"/>
          <w:szCs w:val="16"/>
        </w:rPr>
        <w:t>@ge.com</w:t>
      </w:r>
    </w:p>
    <w:p w14:paraId="52126150" w14:textId="77777777" w:rsidR="00ED30D9" w:rsidRDefault="00ED30D9" w:rsidP="00ED30D9">
      <w:pPr>
        <w:pStyle w:val="Default"/>
        <w:tabs>
          <w:tab w:val="left" w:pos="6804"/>
        </w:tabs>
        <w:rPr>
          <w:rFonts w:asciiTheme="majorHAnsi" w:hAnsiTheme="majorHAnsi" w:cstheme="majorHAnsi"/>
          <w:color w:val="404040" w:themeColor="text1" w:themeTint="BF"/>
          <w:sz w:val="16"/>
          <w:szCs w:val="16"/>
        </w:rPr>
      </w:pPr>
      <w:r w:rsidRPr="00977090">
        <w:rPr>
          <w:rFonts w:asciiTheme="majorHAnsi" w:hAnsiTheme="majorHAnsi" w:cstheme="majorHAnsi"/>
          <w:color w:val="404040" w:themeColor="text1" w:themeTint="BF"/>
          <w:sz w:val="16"/>
          <w:szCs w:val="16"/>
        </w:rPr>
        <w:tab/>
        <w:t xml:space="preserve">M </w:t>
      </w:r>
      <w:r w:rsidRPr="00931AEE">
        <w:rPr>
          <w:rFonts w:asciiTheme="majorHAnsi" w:hAnsiTheme="majorHAnsi" w:cstheme="majorHAnsi"/>
          <w:color w:val="404040" w:themeColor="text1" w:themeTint="BF"/>
          <w:sz w:val="16"/>
          <w:szCs w:val="16"/>
        </w:rPr>
        <w:t>+1 (414) 4919895</w:t>
      </w:r>
    </w:p>
    <w:p w14:paraId="4A28C90F" w14:textId="77777777" w:rsidR="001D2DAA" w:rsidRPr="00DA53F5" w:rsidRDefault="001D2DAA" w:rsidP="001D2DAA">
      <w:pPr>
        <w:pStyle w:val="Default"/>
        <w:rPr>
          <w:rFonts w:asciiTheme="majorHAnsi" w:hAnsiTheme="majorHAnsi" w:cstheme="majorHAnsi"/>
          <w:color w:val="auto"/>
          <w:sz w:val="22"/>
          <w:szCs w:val="22"/>
          <w:lang w:val="en-IN"/>
        </w:rPr>
      </w:pPr>
    </w:p>
    <w:p w14:paraId="19B623FC" w14:textId="77777777" w:rsidR="00371356" w:rsidRPr="006F53B6" w:rsidRDefault="00371356" w:rsidP="006F53B6">
      <w:pPr>
        <w:spacing w:after="0"/>
        <w:jc w:val="both"/>
        <w:rPr>
          <w:rFonts w:asciiTheme="majorHAnsi" w:hAnsiTheme="majorHAnsi" w:cstheme="majorHAnsi"/>
        </w:rPr>
      </w:pPr>
      <w:bookmarkStart w:id="1" w:name="OLE_LINK8"/>
      <w:r w:rsidRPr="006F53B6">
        <w:rPr>
          <w:rFonts w:asciiTheme="majorHAnsi" w:hAnsiTheme="majorHAnsi" w:cstheme="majorHAnsi"/>
        </w:rPr>
        <w:t xml:space="preserve">GE Healthcare </w:t>
      </w:r>
      <w:proofErr w:type="spellStart"/>
      <w:r w:rsidRPr="006F53B6">
        <w:rPr>
          <w:rFonts w:asciiTheme="majorHAnsi" w:hAnsiTheme="majorHAnsi" w:cstheme="majorHAnsi"/>
        </w:rPr>
        <w:t>samarbetar</w:t>
      </w:r>
      <w:proofErr w:type="spellEnd"/>
      <w:r w:rsidRPr="006F53B6">
        <w:rPr>
          <w:rFonts w:asciiTheme="majorHAnsi" w:hAnsiTheme="majorHAnsi" w:cstheme="majorHAnsi"/>
        </w:rPr>
        <w:t xml:space="preserve"> med </w:t>
      </w:r>
      <w:proofErr w:type="spellStart"/>
      <w:r w:rsidRPr="006F53B6">
        <w:rPr>
          <w:rFonts w:asciiTheme="majorHAnsi" w:hAnsiTheme="majorHAnsi" w:cstheme="majorHAnsi"/>
        </w:rPr>
        <w:t>sina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leverantörer</w:t>
      </w:r>
      <w:proofErr w:type="spellEnd"/>
      <w:r w:rsidRPr="006F53B6">
        <w:rPr>
          <w:rFonts w:asciiTheme="majorHAnsi" w:hAnsiTheme="majorHAnsi" w:cstheme="majorHAnsi"/>
        </w:rPr>
        <w:t xml:space="preserve"> för </w:t>
      </w:r>
      <w:proofErr w:type="spellStart"/>
      <w:r w:rsidRPr="006F53B6">
        <w:rPr>
          <w:rFonts w:asciiTheme="majorHAnsi" w:hAnsiTheme="majorHAnsi" w:cstheme="majorHAnsi"/>
        </w:rPr>
        <w:t>att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säkerställa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överensstämmelse</w:t>
      </w:r>
      <w:proofErr w:type="spellEnd"/>
      <w:r w:rsidRPr="006F53B6">
        <w:rPr>
          <w:rFonts w:asciiTheme="majorHAnsi" w:hAnsiTheme="majorHAnsi" w:cstheme="majorHAnsi"/>
        </w:rPr>
        <w:t xml:space="preserve"> för </w:t>
      </w:r>
      <w:proofErr w:type="spellStart"/>
      <w:r w:rsidRPr="006F53B6">
        <w:rPr>
          <w:rFonts w:asciiTheme="majorHAnsi" w:hAnsiTheme="majorHAnsi" w:cstheme="majorHAnsi"/>
        </w:rPr>
        <w:t>produkter</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som</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importeras</w:t>
      </w:r>
      <w:proofErr w:type="spellEnd"/>
      <w:r w:rsidRPr="006F53B6">
        <w:rPr>
          <w:rFonts w:asciiTheme="majorHAnsi" w:hAnsiTheme="majorHAnsi" w:cstheme="majorHAnsi"/>
        </w:rPr>
        <w:t xml:space="preserve"> till </w:t>
      </w:r>
      <w:proofErr w:type="spellStart"/>
      <w:r w:rsidRPr="006F53B6">
        <w:rPr>
          <w:rFonts w:asciiTheme="majorHAnsi" w:hAnsiTheme="majorHAnsi" w:cstheme="majorHAnsi"/>
        </w:rPr>
        <w:t>eller</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tillverkas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inom</w:t>
      </w:r>
      <w:proofErr w:type="spellEnd"/>
      <w:r w:rsidRPr="006F53B6">
        <w:rPr>
          <w:rFonts w:asciiTheme="majorHAnsi" w:hAnsiTheme="majorHAnsi" w:cstheme="majorHAnsi"/>
        </w:rPr>
        <w:t xml:space="preserve"> EU, </w:t>
      </w:r>
      <w:proofErr w:type="spellStart"/>
      <w:r w:rsidRPr="006F53B6">
        <w:rPr>
          <w:rFonts w:asciiTheme="majorHAnsi" w:hAnsiTheme="majorHAnsi" w:cstheme="majorHAnsi"/>
        </w:rPr>
        <w:t>omfattas</w:t>
      </w:r>
      <w:proofErr w:type="spellEnd"/>
      <w:r w:rsidRPr="006F53B6">
        <w:rPr>
          <w:rFonts w:asciiTheme="majorHAnsi" w:hAnsiTheme="majorHAnsi" w:cstheme="majorHAnsi"/>
        </w:rPr>
        <w:t xml:space="preserve"> av REACH-</w:t>
      </w:r>
      <w:proofErr w:type="spellStart"/>
      <w:r w:rsidRPr="006F53B6">
        <w:rPr>
          <w:rFonts w:asciiTheme="majorHAnsi" w:hAnsiTheme="majorHAnsi" w:cstheme="majorHAnsi"/>
        </w:rPr>
        <w:t>förordningen</w:t>
      </w:r>
      <w:proofErr w:type="spellEnd"/>
      <w:r w:rsidRPr="006F53B6">
        <w:rPr>
          <w:rFonts w:asciiTheme="majorHAnsi" w:hAnsiTheme="majorHAnsi" w:cstheme="majorHAnsi"/>
        </w:rPr>
        <w:t xml:space="preserve"> (EG nr. 1907/2006), </w:t>
      </w:r>
      <w:proofErr w:type="spellStart"/>
      <w:r w:rsidRPr="006F53B6">
        <w:rPr>
          <w:rFonts w:asciiTheme="majorHAnsi" w:hAnsiTheme="majorHAnsi" w:cstheme="majorHAnsi"/>
        </w:rPr>
        <w:t>artikel</w:t>
      </w:r>
      <w:proofErr w:type="spellEnd"/>
      <w:r w:rsidRPr="006F53B6">
        <w:rPr>
          <w:rFonts w:asciiTheme="majorHAnsi" w:hAnsiTheme="majorHAnsi" w:cstheme="majorHAnsi"/>
        </w:rPr>
        <w:t xml:space="preserve"> 33, </w:t>
      </w:r>
      <w:proofErr w:type="spellStart"/>
      <w:r w:rsidRPr="006F53B6">
        <w:rPr>
          <w:rFonts w:asciiTheme="majorHAnsi" w:hAnsiTheme="majorHAnsi" w:cstheme="majorHAnsi"/>
        </w:rPr>
        <w:t>och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används</w:t>
      </w:r>
      <w:proofErr w:type="spellEnd"/>
      <w:r w:rsidRPr="006F53B6">
        <w:rPr>
          <w:rFonts w:asciiTheme="majorHAnsi" w:hAnsiTheme="majorHAnsi" w:cstheme="majorHAnsi"/>
        </w:rPr>
        <w:t xml:space="preserve"> under </w:t>
      </w:r>
      <w:proofErr w:type="spellStart"/>
      <w:r w:rsidRPr="006F53B6">
        <w:rPr>
          <w:rFonts w:asciiTheme="majorHAnsi" w:hAnsiTheme="majorHAnsi" w:cstheme="majorHAnsi"/>
        </w:rPr>
        <w:t>produktionen</w:t>
      </w:r>
      <w:proofErr w:type="spellEnd"/>
      <w:r w:rsidRPr="006F53B6">
        <w:rPr>
          <w:rFonts w:asciiTheme="majorHAnsi" w:hAnsiTheme="majorHAnsi" w:cstheme="majorHAnsi"/>
        </w:rPr>
        <w:t xml:space="preserve"> av GE </w:t>
      </w:r>
      <w:proofErr w:type="spellStart"/>
      <w:r w:rsidRPr="006F53B6">
        <w:rPr>
          <w:rFonts w:asciiTheme="majorHAnsi" w:hAnsiTheme="majorHAnsi" w:cstheme="majorHAnsi"/>
        </w:rPr>
        <w:t>Healthcares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produkter</w:t>
      </w:r>
      <w:proofErr w:type="spellEnd"/>
      <w:r w:rsidRPr="006F53B6">
        <w:rPr>
          <w:rFonts w:asciiTheme="majorHAnsi" w:hAnsiTheme="majorHAnsi" w:cstheme="majorHAnsi"/>
        </w:rPr>
        <w:t xml:space="preserve">. </w:t>
      </w:r>
    </w:p>
    <w:p w14:paraId="7B8F44B9" w14:textId="7DAA5E3E" w:rsidR="00371356" w:rsidRPr="006F53B6" w:rsidRDefault="00371356" w:rsidP="006F53B6">
      <w:pPr>
        <w:spacing w:after="0"/>
        <w:jc w:val="both"/>
        <w:rPr>
          <w:rFonts w:asciiTheme="majorHAnsi" w:hAnsiTheme="majorHAnsi" w:cstheme="majorHAnsi"/>
        </w:rPr>
      </w:pPr>
      <w:proofErr w:type="spellStart"/>
      <w:r w:rsidRPr="006F53B6">
        <w:rPr>
          <w:rFonts w:asciiTheme="majorHAnsi" w:hAnsiTheme="majorHAnsi" w:cstheme="majorHAnsi"/>
        </w:rPr>
        <w:t>Gällande</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tillämpningen</w:t>
      </w:r>
      <w:proofErr w:type="spellEnd"/>
      <w:r w:rsidRPr="006F53B6">
        <w:rPr>
          <w:rFonts w:asciiTheme="majorHAnsi" w:hAnsiTheme="majorHAnsi" w:cstheme="majorHAnsi"/>
        </w:rPr>
        <w:t xml:space="preserve"> av </w:t>
      </w:r>
      <w:proofErr w:type="spellStart"/>
      <w:r w:rsidRPr="006F53B6">
        <w:rPr>
          <w:rFonts w:asciiTheme="majorHAnsi" w:hAnsiTheme="majorHAnsi" w:cstheme="majorHAnsi"/>
        </w:rPr>
        <w:t>artikel</w:t>
      </w:r>
      <w:proofErr w:type="spellEnd"/>
      <w:r w:rsidRPr="006F53B6">
        <w:rPr>
          <w:rFonts w:asciiTheme="majorHAnsi" w:hAnsiTheme="majorHAnsi" w:cstheme="majorHAnsi"/>
        </w:rPr>
        <w:t xml:space="preserve"> 33 </w:t>
      </w:r>
      <w:proofErr w:type="spellStart"/>
      <w:r w:rsidRPr="006F53B6">
        <w:rPr>
          <w:rFonts w:asciiTheme="majorHAnsi" w:hAnsiTheme="majorHAnsi" w:cstheme="majorHAnsi"/>
        </w:rPr>
        <w:t>i</w:t>
      </w:r>
      <w:proofErr w:type="spellEnd"/>
      <w:r w:rsidRPr="006F53B6">
        <w:rPr>
          <w:rFonts w:asciiTheme="majorHAnsi" w:hAnsiTheme="majorHAnsi" w:cstheme="majorHAnsi"/>
        </w:rPr>
        <w:t xml:space="preserve"> REACH-</w:t>
      </w:r>
      <w:proofErr w:type="spellStart"/>
      <w:r w:rsidRPr="006F53B6">
        <w:rPr>
          <w:rFonts w:asciiTheme="majorHAnsi" w:hAnsiTheme="majorHAnsi" w:cstheme="majorHAnsi"/>
        </w:rPr>
        <w:t>förordningen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och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utgivningen</w:t>
      </w:r>
      <w:proofErr w:type="spellEnd"/>
      <w:r w:rsidRPr="006F53B6">
        <w:rPr>
          <w:rFonts w:asciiTheme="majorHAnsi" w:hAnsiTheme="majorHAnsi" w:cstheme="majorHAnsi"/>
        </w:rPr>
        <w:t xml:space="preserve"> av </w:t>
      </w:r>
      <w:proofErr w:type="spellStart"/>
      <w:r w:rsidRPr="006F53B6">
        <w:rPr>
          <w:rFonts w:asciiTheme="majorHAnsi" w:hAnsiTheme="majorHAnsi" w:cstheme="majorHAnsi"/>
        </w:rPr>
        <w:t>kandidatförteckningen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över</w:t>
      </w:r>
      <w:proofErr w:type="spellEnd"/>
      <w:r w:rsidRPr="006F53B6">
        <w:rPr>
          <w:rFonts w:asciiTheme="majorHAnsi" w:hAnsiTheme="majorHAnsi" w:cstheme="majorHAnsi"/>
        </w:rPr>
        <w:t xml:space="preserve"> SVHC-</w:t>
      </w:r>
      <w:proofErr w:type="spellStart"/>
      <w:r w:rsidRPr="006F53B6">
        <w:rPr>
          <w:rFonts w:asciiTheme="majorHAnsi" w:hAnsiTheme="majorHAnsi" w:cstheme="majorHAnsi"/>
        </w:rPr>
        <w:t>ämnen</w:t>
      </w:r>
      <w:proofErr w:type="spellEnd"/>
      <w:r w:rsidRPr="006F53B6">
        <w:rPr>
          <w:rFonts w:asciiTheme="majorHAnsi" w:hAnsiTheme="majorHAnsi" w:cstheme="majorHAnsi"/>
        </w:rPr>
        <w:t xml:space="preserve"> (Substances of Very High Concern, </w:t>
      </w:r>
      <w:proofErr w:type="spellStart"/>
      <w:r w:rsidRPr="006F53B6">
        <w:rPr>
          <w:rFonts w:asciiTheme="majorHAnsi" w:hAnsiTheme="majorHAnsi" w:cstheme="majorHAnsi"/>
        </w:rPr>
        <w:t>ämnen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som</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inger</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mycket</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stora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betänkligheter</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i</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enlighet</w:t>
      </w:r>
      <w:proofErr w:type="spellEnd"/>
      <w:r w:rsidRPr="006F53B6">
        <w:rPr>
          <w:rFonts w:asciiTheme="majorHAnsi" w:hAnsiTheme="majorHAnsi" w:cstheme="majorHAnsi"/>
        </w:rPr>
        <w:t xml:space="preserve"> med </w:t>
      </w:r>
      <w:proofErr w:type="spellStart"/>
      <w:r w:rsidRPr="006F53B6">
        <w:rPr>
          <w:rFonts w:asciiTheme="majorHAnsi" w:hAnsiTheme="majorHAnsi" w:cstheme="majorHAnsi"/>
        </w:rPr>
        <w:t>artikel</w:t>
      </w:r>
      <w:proofErr w:type="spellEnd"/>
      <w:r w:rsidRPr="006F53B6">
        <w:rPr>
          <w:rFonts w:asciiTheme="majorHAnsi" w:hAnsiTheme="majorHAnsi" w:cstheme="majorHAnsi"/>
        </w:rPr>
        <w:t xml:space="preserve"> 59 </w:t>
      </w:r>
      <w:proofErr w:type="spellStart"/>
      <w:r w:rsidRPr="006F53B6">
        <w:rPr>
          <w:rFonts w:asciiTheme="majorHAnsi" w:hAnsiTheme="majorHAnsi" w:cstheme="majorHAnsi"/>
        </w:rPr>
        <w:t>i</w:t>
      </w:r>
      <w:proofErr w:type="spellEnd"/>
      <w:r w:rsidRPr="006F53B6">
        <w:rPr>
          <w:rFonts w:asciiTheme="majorHAnsi" w:hAnsiTheme="majorHAnsi" w:cstheme="majorHAnsi"/>
        </w:rPr>
        <w:t xml:space="preserve"> REACH-</w:t>
      </w:r>
      <w:proofErr w:type="spellStart"/>
      <w:r w:rsidRPr="006F53B6">
        <w:rPr>
          <w:rFonts w:asciiTheme="majorHAnsi" w:hAnsiTheme="majorHAnsi" w:cstheme="majorHAnsi"/>
        </w:rPr>
        <w:t>förordningen</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är</w:t>
      </w:r>
      <w:proofErr w:type="spellEnd"/>
      <w:r w:rsidRPr="006F53B6">
        <w:rPr>
          <w:rFonts w:asciiTheme="majorHAnsi" w:hAnsiTheme="majorHAnsi" w:cstheme="majorHAnsi"/>
        </w:rPr>
        <w:t xml:space="preserve"> GE Healthcare </w:t>
      </w:r>
      <w:proofErr w:type="spellStart"/>
      <w:r w:rsidRPr="006F53B6">
        <w:rPr>
          <w:rFonts w:asciiTheme="majorHAnsi" w:hAnsiTheme="majorHAnsi" w:cstheme="majorHAnsi"/>
        </w:rPr>
        <w:t>medvetna</w:t>
      </w:r>
      <w:proofErr w:type="spellEnd"/>
      <w:r w:rsidRPr="006F53B6">
        <w:rPr>
          <w:rFonts w:asciiTheme="majorHAnsi" w:hAnsiTheme="majorHAnsi" w:cstheme="majorHAnsi"/>
        </w:rPr>
        <w:t xml:space="preserve"> om </w:t>
      </w:r>
      <w:proofErr w:type="spellStart"/>
      <w:r w:rsidRPr="006F53B6">
        <w:rPr>
          <w:rFonts w:asciiTheme="majorHAnsi" w:hAnsiTheme="majorHAnsi" w:cstheme="majorHAnsi"/>
        </w:rPr>
        <w:t>sina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juridiska</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skyldigheter</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och</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kommer</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att</w:t>
      </w:r>
      <w:proofErr w:type="spellEnd"/>
      <w:r w:rsidRPr="006F53B6">
        <w:rPr>
          <w:rFonts w:asciiTheme="majorHAnsi" w:hAnsiTheme="majorHAnsi" w:cstheme="majorHAnsi"/>
        </w:rPr>
        <w:t xml:space="preserve"> leva </w:t>
      </w:r>
      <w:proofErr w:type="spellStart"/>
      <w:r w:rsidRPr="006F53B6">
        <w:rPr>
          <w:rFonts w:asciiTheme="majorHAnsi" w:hAnsiTheme="majorHAnsi" w:cstheme="majorHAnsi"/>
        </w:rPr>
        <w:t>upp</w:t>
      </w:r>
      <w:proofErr w:type="spellEnd"/>
      <w:r w:rsidRPr="006F53B6">
        <w:rPr>
          <w:rFonts w:asciiTheme="majorHAnsi" w:hAnsiTheme="majorHAnsi" w:cstheme="majorHAnsi"/>
        </w:rPr>
        <w:t xml:space="preserve"> till dem. </w:t>
      </w:r>
    </w:p>
    <w:p w14:paraId="424C66AA" w14:textId="77777777" w:rsidR="00371356" w:rsidRPr="006F53B6" w:rsidRDefault="00371356" w:rsidP="006F53B6">
      <w:pPr>
        <w:spacing w:after="0"/>
        <w:jc w:val="both"/>
        <w:rPr>
          <w:rFonts w:asciiTheme="majorHAnsi" w:hAnsiTheme="majorHAnsi" w:cstheme="majorHAnsi"/>
        </w:rPr>
      </w:pPr>
      <w:r w:rsidRPr="006F53B6">
        <w:rPr>
          <w:rFonts w:asciiTheme="majorHAnsi" w:hAnsiTheme="majorHAnsi" w:cstheme="majorHAnsi"/>
        </w:rPr>
        <w:t xml:space="preserve">GE </w:t>
      </w:r>
      <w:proofErr w:type="spellStart"/>
      <w:r w:rsidRPr="006F53B6">
        <w:rPr>
          <w:rFonts w:asciiTheme="majorHAnsi" w:hAnsiTheme="majorHAnsi" w:cstheme="majorHAnsi"/>
        </w:rPr>
        <w:t>Healthcares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produkter</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avger</w:t>
      </w:r>
      <w:proofErr w:type="spellEnd"/>
      <w:r w:rsidRPr="006F53B6">
        <w:rPr>
          <w:rFonts w:asciiTheme="majorHAnsi" w:hAnsiTheme="majorHAnsi" w:cstheme="majorHAnsi"/>
        </w:rPr>
        <w:t xml:space="preserve"> </w:t>
      </w:r>
      <w:proofErr w:type="gramStart"/>
      <w:r w:rsidRPr="006F53B6">
        <w:rPr>
          <w:rFonts w:asciiTheme="majorHAnsi" w:hAnsiTheme="majorHAnsi" w:cstheme="majorHAnsi"/>
        </w:rPr>
        <w:t>inga ”</w:t>
      </w:r>
      <w:proofErr w:type="spellStart"/>
      <w:r w:rsidRPr="006F53B6">
        <w:rPr>
          <w:rFonts w:asciiTheme="majorHAnsi" w:hAnsiTheme="majorHAnsi" w:cstheme="majorHAnsi"/>
        </w:rPr>
        <w:t>avsiktliga</w:t>
      </w:r>
      <w:proofErr w:type="spellEnd"/>
      <w:proofErr w:type="gramEnd"/>
      <w:r w:rsidRPr="006F53B6">
        <w:rPr>
          <w:rFonts w:asciiTheme="majorHAnsi" w:hAnsiTheme="majorHAnsi" w:cstheme="majorHAnsi"/>
        </w:rPr>
        <w:t xml:space="preserve"> </w:t>
      </w:r>
      <w:proofErr w:type="spellStart"/>
      <w:r w:rsidRPr="006F53B6">
        <w:rPr>
          <w:rFonts w:asciiTheme="majorHAnsi" w:hAnsiTheme="majorHAnsi" w:cstheme="majorHAnsi"/>
        </w:rPr>
        <w:t>utsläpp</w:t>
      </w:r>
      <w:proofErr w:type="spellEnd"/>
      <w:r w:rsidRPr="006F53B6">
        <w:rPr>
          <w:rFonts w:asciiTheme="majorHAnsi" w:hAnsiTheme="majorHAnsi" w:cstheme="majorHAnsi"/>
        </w:rPr>
        <w:t xml:space="preserve">” vid normal </w:t>
      </w:r>
      <w:proofErr w:type="spellStart"/>
      <w:r w:rsidRPr="006F53B6">
        <w:rPr>
          <w:rFonts w:asciiTheme="majorHAnsi" w:hAnsiTheme="majorHAnsi" w:cstheme="majorHAnsi"/>
        </w:rPr>
        <w:t>användning</w:t>
      </w:r>
      <w:proofErr w:type="spellEnd"/>
      <w:r w:rsidRPr="006F53B6">
        <w:rPr>
          <w:rFonts w:asciiTheme="majorHAnsi" w:hAnsiTheme="majorHAnsi" w:cstheme="majorHAnsi"/>
        </w:rPr>
        <w:t xml:space="preserve">. </w:t>
      </w:r>
    </w:p>
    <w:p w14:paraId="3873FEE8" w14:textId="77777777" w:rsidR="0022578F" w:rsidRPr="006F53B6" w:rsidRDefault="0022578F" w:rsidP="006F53B6">
      <w:pPr>
        <w:spacing w:after="0"/>
        <w:jc w:val="both"/>
        <w:rPr>
          <w:rFonts w:asciiTheme="majorHAnsi" w:hAnsiTheme="majorHAnsi" w:cstheme="majorHAnsi"/>
        </w:rPr>
      </w:pPr>
      <w:r w:rsidRPr="006F53B6">
        <w:rPr>
          <w:rFonts w:asciiTheme="majorHAnsi" w:hAnsiTheme="majorHAnsi" w:cstheme="majorHAnsi"/>
        </w:rPr>
        <w:t xml:space="preserve">GE </w:t>
      </w:r>
      <w:proofErr w:type="spellStart"/>
      <w:r w:rsidRPr="006F53B6">
        <w:rPr>
          <w:rFonts w:asciiTheme="majorHAnsi" w:hAnsiTheme="majorHAnsi" w:cstheme="majorHAnsi"/>
        </w:rPr>
        <w:t>Healthcares</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produkter</w:t>
      </w:r>
      <w:proofErr w:type="spellEnd"/>
      <w:r w:rsidRPr="006F53B6">
        <w:rPr>
          <w:rFonts w:asciiTheme="majorHAnsi" w:hAnsiTheme="majorHAnsi" w:cstheme="majorHAnsi"/>
        </w:rPr>
        <w:t xml:space="preserve"> </w:t>
      </w:r>
      <w:proofErr w:type="spellStart"/>
      <w:r w:rsidRPr="006F53B6">
        <w:rPr>
          <w:rFonts w:asciiTheme="majorHAnsi" w:hAnsiTheme="majorHAnsi" w:cstheme="majorHAnsi"/>
        </w:rPr>
        <w:t>avger</w:t>
      </w:r>
      <w:proofErr w:type="spellEnd"/>
      <w:r w:rsidRPr="006F53B6">
        <w:rPr>
          <w:rFonts w:asciiTheme="majorHAnsi" w:hAnsiTheme="majorHAnsi" w:cstheme="majorHAnsi"/>
        </w:rPr>
        <w:t xml:space="preserve"> </w:t>
      </w:r>
      <w:proofErr w:type="gramStart"/>
      <w:r w:rsidRPr="006F53B6">
        <w:rPr>
          <w:rFonts w:asciiTheme="majorHAnsi" w:hAnsiTheme="majorHAnsi" w:cstheme="majorHAnsi"/>
        </w:rPr>
        <w:t>inga ”</w:t>
      </w:r>
      <w:proofErr w:type="spellStart"/>
      <w:r w:rsidRPr="006F53B6">
        <w:rPr>
          <w:rFonts w:asciiTheme="majorHAnsi" w:hAnsiTheme="majorHAnsi" w:cstheme="majorHAnsi"/>
        </w:rPr>
        <w:t>avsiktliga</w:t>
      </w:r>
      <w:proofErr w:type="spellEnd"/>
      <w:proofErr w:type="gramEnd"/>
      <w:r w:rsidRPr="006F53B6">
        <w:rPr>
          <w:rFonts w:asciiTheme="majorHAnsi" w:hAnsiTheme="majorHAnsi" w:cstheme="majorHAnsi"/>
        </w:rPr>
        <w:t xml:space="preserve"> </w:t>
      </w:r>
      <w:proofErr w:type="spellStart"/>
      <w:r w:rsidRPr="006F53B6">
        <w:rPr>
          <w:rFonts w:asciiTheme="majorHAnsi" w:hAnsiTheme="majorHAnsi" w:cstheme="majorHAnsi"/>
        </w:rPr>
        <w:t>utsläpp</w:t>
      </w:r>
      <w:proofErr w:type="spellEnd"/>
      <w:r w:rsidRPr="006F53B6">
        <w:rPr>
          <w:rFonts w:asciiTheme="majorHAnsi" w:hAnsiTheme="majorHAnsi" w:cstheme="majorHAnsi"/>
        </w:rPr>
        <w:t xml:space="preserve">” vid normal </w:t>
      </w:r>
      <w:proofErr w:type="spellStart"/>
      <w:r w:rsidRPr="006F53B6">
        <w:rPr>
          <w:rFonts w:asciiTheme="majorHAnsi" w:hAnsiTheme="majorHAnsi" w:cstheme="majorHAnsi"/>
        </w:rPr>
        <w:t>användning</w:t>
      </w:r>
      <w:proofErr w:type="spellEnd"/>
      <w:r w:rsidRPr="006F53B6">
        <w:rPr>
          <w:rFonts w:asciiTheme="majorHAnsi" w:hAnsiTheme="majorHAnsi" w:cstheme="majorHAnsi"/>
        </w:rPr>
        <w:t xml:space="preserve">. </w:t>
      </w:r>
    </w:p>
    <w:p w14:paraId="080B7289" w14:textId="5506D25C" w:rsidR="001D2DAA" w:rsidRPr="006F53B6" w:rsidRDefault="0022578F" w:rsidP="006F53B6">
      <w:pPr>
        <w:spacing w:after="0"/>
        <w:jc w:val="both"/>
        <w:rPr>
          <w:rFonts w:asciiTheme="majorHAnsi" w:hAnsiTheme="majorHAnsi" w:cstheme="majorHAnsi"/>
          <w:lang w:val="da-DK"/>
        </w:rPr>
      </w:pPr>
      <w:r w:rsidRPr="006F53B6">
        <w:rPr>
          <w:rFonts w:asciiTheme="majorHAnsi" w:hAnsiTheme="majorHAnsi" w:cstheme="majorHAnsi"/>
          <w:lang w:val="da-DK"/>
        </w:rPr>
        <w:t>Baserat på nuvarande information från våra leverantörer finns de här substanserna i nivåer som kan överskrida tröskelvärdet på 0,1 % vikt/volym i följande produkter:</w:t>
      </w:r>
    </w:p>
    <w:bookmarkEnd w:id="1"/>
    <w:p w14:paraId="3A359F07" w14:textId="77777777" w:rsidR="00371356" w:rsidRPr="00DE06BF" w:rsidRDefault="00371356" w:rsidP="00371356">
      <w:pPr>
        <w:rPr>
          <w:rFonts w:asciiTheme="majorHAnsi" w:hAnsiTheme="majorHAnsi" w:cstheme="majorHAnsi"/>
          <w:color w:val="ED7D31" w:themeColor="accent2"/>
          <w:lang w:val="da-DK"/>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5843"/>
        <w:gridCol w:w="1694"/>
      </w:tblGrid>
      <w:tr w:rsidR="001D2DAA" w:rsidRPr="005F0E6A" w14:paraId="44D6BC81" w14:textId="77777777" w:rsidTr="006F53B6">
        <w:trPr>
          <w:trHeight w:val="290"/>
        </w:trPr>
        <w:tc>
          <w:tcPr>
            <w:tcW w:w="1525" w:type="dxa"/>
            <w:noWrap/>
          </w:tcPr>
          <w:p w14:paraId="36229E4B" w14:textId="77777777" w:rsidR="001D2DAA" w:rsidRPr="006F53B6" w:rsidRDefault="004465F2"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Produktnamn</w:t>
            </w:r>
            <w:proofErr w:type="spellEnd"/>
          </w:p>
        </w:tc>
        <w:tc>
          <w:tcPr>
            <w:tcW w:w="5843" w:type="dxa"/>
          </w:tcPr>
          <w:p w14:paraId="691F7969" w14:textId="77777777" w:rsidR="001D2DAA" w:rsidRPr="006F53B6" w:rsidRDefault="004465F2" w:rsidP="005A2C7D">
            <w:pPr>
              <w:spacing w:after="0" w:line="240" w:lineRule="auto"/>
              <w:rPr>
                <w:rFonts w:asciiTheme="majorHAnsi" w:hAnsiTheme="majorHAnsi" w:cstheme="majorHAnsi"/>
                <w:b/>
                <w:bCs/>
              </w:rPr>
            </w:pPr>
            <w:proofErr w:type="spellStart"/>
            <w:r w:rsidRPr="006F53B6">
              <w:rPr>
                <w:rFonts w:asciiTheme="majorHAnsi" w:hAnsiTheme="majorHAnsi" w:cstheme="majorHAnsi"/>
                <w:b/>
                <w:bCs/>
              </w:rPr>
              <w:t>Ämnets</w:t>
            </w:r>
            <w:proofErr w:type="spellEnd"/>
            <w:r w:rsidRPr="006F53B6">
              <w:rPr>
                <w:rFonts w:asciiTheme="majorHAnsi" w:hAnsiTheme="majorHAnsi" w:cstheme="majorHAnsi"/>
                <w:b/>
                <w:bCs/>
              </w:rPr>
              <w:t xml:space="preserve"> </w:t>
            </w:r>
            <w:proofErr w:type="spellStart"/>
            <w:r w:rsidRPr="006F53B6">
              <w:rPr>
                <w:rFonts w:asciiTheme="majorHAnsi" w:hAnsiTheme="majorHAnsi" w:cstheme="majorHAnsi"/>
                <w:b/>
                <w:bCs/>
              </w:rPr>
              <w:t>namn</w:t>
            </w:r>
            <w:proofErr w:type="spellEnd"/>
          </w:p>
        </w:tc>
        <w:tc>
          <w:tcPr>
            <w:tcW w:w="1694" w:type="dxa"/>
          </w:tcPr>
          <w:p w14:paraId="7781ACFF" w14:textId="77777777" w:rsidR="001D2DAA" w:rsidRPr="006F53B6" w:rsidRDefault="004465F2" w:rsidP="005A2C7D">
            <w:pPr>
              <w:spacing w:after="0" w:line="240" w:lineRule="auto"/>
              <w:rPr>
                <w:rFonts w:asciiTheme="majorHAnsi" w:hAnsiTheme="majorHAnsi" w:cstheme="majorHAnsi"/>
                <w:b/>
                <w:bCs/>
                <w:lang w:val="fr-FR"/>
              </w:rPr>
            </w:pPr>
            <w:r w:rsidRPr="006F53B6">
              <w:rPr>
                <w:rFonts w:asciiTheme="majorHAnsi" w:hAnsiTheme="majorHAnsi" w:cstheme="majorHAnsi"/>
                <w:b/>
                <w:bCs/>
                <w:lang w:val="fr-FR"/>
              </w:rPr>
              <w:t>CAS-nr</w:t>
            </w:r>
          </w:p>
        </w:tc>
      </w:tr>
      <w:tr w:rsidR="00ED30D9" w:rsidRPr="00B93A55" w14:paraId="07C10438" w14:textId="77777777" w:rsidTr="003E41E7">
        <w:trPr>
          <w:trHeight w:val="290"/>
        </w:trPr>
        <w:tc>
          <w:tcPr>
            <w:tcW w:w="9062" w:type="dxa"/>
            <w:gridSpan w:val="3"/>
            <w:noWrap/>
          </w:tcPr>
          <w:p w14:paraId="301A9B35" w14:textId="77777777" w:rsidR="00ED30D9" w:rsidRPr="00B93A55" w:rsidRDefault="00ED30D9" w:rsidP="003E41E7">
            <w:pPr>
              <w:spacing w:after="0" w:line="240" w:lineRule="auto"/>
              <w:rPr>
                <w:rFonts w:asciiTheme="majorHAnsi" w:hAnsiTheme="majorHAnsi" w:cstheme="majorHAnsi"/>
                <w:b/>
                <w:bCs/>
                <w:lang w:val="fr-FR"/>
              </w:rPr>
            </w:pPr>
            <w:r w:rsidRPr="00144013">
              <w:rPr>
                <w:rFonts w:ascii="Calibri Light" w:hAnsi="Calibri Light" w:cs="Calibri Light"/>
                <w:bCs/>
                <w:i/>
                <w:color w:val="000000"/>
                <w:sz w:val="20"/>
                <w:szCs w:val="20"/>
              </w:rPr>
              <w:t>MLCL ALTIX</w:t>
            </w:r>
          </w:p>
        </w:tc>
      </w:tr>
      <w:tr w:rsidR="00ED30D9" w14:paraId="0E74188F" w14:textId="77777777" w:rsidTr="006F53B6">
        <w:trPr>
          <w:trHeight w:val="290"/>
        </w:trPr>
        <w:tc>
          <w:tcPr>
            <w:tcW w:w="1525" w:type="dxa"/>
            <w:noWrap/>
            <w:hideMark/>
          </w:tcPr>
          <w:p w14:paraId="12CB8228"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COMBOLAB</w:t>
            </w:r>
          </w:p>
        </w:tc>
        <w:tc>
          <w:tcPr>
            <w:tcW w:w="5843" w:type="dxa"/>
          </w:tcPr>
          <w:p w14:paraId="244CF9A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81202DD"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26049C8C"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19F66C8C"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1DAEE77E" w14:textId="77777777" w:rsidR="00ED30D9" w:rsidRPr="007825CB" w:rsidRDefault="00ED30D9"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4" w:type="dxa"/>
          </w:tcPr>
          <w:p w14:paraId="59F37BD4"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CE2508D"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139179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64A4109"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9ADDFEC"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2C96E1B1" w14:textId="77777777" w:rsidTr="006F53B6">
        <w:trPr>
          <w:trHeight w:val="1448"/>
        </w:trPr>
        <w:tc>
          <w:tcPr>
            <w:tcW w:w="1525" w:type="dxa"/>
            <w:noWrap/>
            <w:hideMark/>
          </w:tcPr>
          <w:p w14:paraId="16DEE5CA"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CARDIOLAB</w:t>
            </w:r>
          </w:p>
        </w:tc>
        <w:tc>
          <w:tcPr>
            <w:tcW w:w="5843" w:type="dxa"/>
          </w:tcPr>
          <w:p w14:paraId="002246EF"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E07FC6A"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536B5430"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78989F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27E51A5" w14:textId="77777777" w:rsidR="00ED30D9" w:rsidRPr="007825CB" w:rsidRDefault="00ED30D9" w:rsidP="003E41E7">
            <w:pPr>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4" w:type="dxa"/>
          </w:tcPr>
          <w:p w14:paraId="530F1862"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05274198"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E0C1D77"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1D32F61"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DCD6B36"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3C9A3015" w14:textId="77777777" w:rsidTr="006F53B6">
        <w:trPr>
          <w:trHeight w:val="290"/>
        </w:trPr>
        <w:tc>
          <w:tcPr>
            <w:tcW w:w="1525" w:type="dxa"/>
            <w:noWrap/>
            <w:hideMark/>
          </w:tcPr>
          <w:p w14:paraId="335D0C6F"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ALTIX     MAC-LAB</w:t>
            </w:r>
          </w:p>
        </w:tc>
        <w:tc>
          <w:tcPr>
            <w:tcW w:w="5843" w:type="dxa"/>
          </w:tcPr>
          <w:p w14:paraId="13B2BC98"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AF9C48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AF51016"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5676F9CD"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D5A1733" w14:textId="77777777" w:rsidR="00ED30D9" w:rsidRPr="007825CB" w:rsidRDefault="00ED30D9" w:rsidP="003E41E7">
            <w:pPr>
              <w:spacing w:after="0" w:line="240" w:lineRule="auto"/>
              <w:rPr>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4" w:type="dxa"/>
          </w:tcPr>
          <w:p w14:paraId="7438BE50"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3FEA0B82"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10C84B3A"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6EFAB11B"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2694C20"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rsidRPr="001F3911" w14:paraId="083FD7AD" w14:textId="77777777" w:rsidTr="003E41E7">
        <w:trPr>
          <w:trHeight w:val="290"/>
        </w:trPr>
        <w:tc>
          <w:tcPr>
            <w:tcW w:w="9062" w:type="dxa"/>
            <w:gridSpan w:val="3"/>
            <w:noWrap/>
          </w:tcPr>
          <w:p w14:paraId="023361E9" w14:textId="77777777" w:rsidR="00ED30D9" w:rsidRPr="001F3911" w:rsidRDefault="00ED30D9" w:rsidP="003E41E7">
            <w:pPr>
              <w:spacing w:after="0" w:line="240" w:lineRule="auto"/>
              <w:rPr>
                <w:rFonts w:ascii="Calibri Light" w:hAnsi="Calibri Light" w:cs="Calibri Light"/>
                <w:bCs/>
                <w:i/>
                <w:color w:val="000000"/>
                <w:sz w:val="20"/>
                <w:szCs w:val="20"/>
              </w:rPr>
            </w:pPr>
            <w:r w:rsidRPr="00144013">
              <w:rPr>
                <w:rFonts w:ascii="Calibri Light" w:hAnsi="Calibri Light" w:cs="Calibri Light"/>
                <w:bCs/>
                <w:i/>
                <w:color w:val="000000"/>
                <w:sz w:val="20"/>
                <w:szCs w:val="20"/>
              </w:rPr>
              <w:t>MLCL v7</w:t>
            </w:r>
          </w:p>
        </w:tc>
      </w:tr>
      <w:tr w:rsidR="00ED30D9" w14:paraId="58515608" w14:textId="77777777" w:rsidTr="006F53B6">
        <w:trPr>
          <w:trHeight w:val="290"/>
        </w:trPr>
        <w:tc>
          <w:tcPr>
            <w:tcW w:w="1525" w:type="dxa"/>
            <w:tcBorders>
              <w:top w:val="single" w:sz="4" w:space="0" w:color="auto"/>
              <w:left w:val="single" w:sz="4" w:space="0" w:color="auto"/>
              <w:bottom w:val="single" w:sz="4" w:space="0" w:color="auto"/>
              <w:right w:val="single" w:sz="4" w:space="0" w:color="auto"/>
            </w:tcBorders>
            <w:noWrap/>
            <w:hideMark/>
          </w:tcPr>
          <w:p w14:paraId="1441CBE3"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v7 COMBOLAB</w:t>
            </w:r>
          </w:p>
        </w:tc>
        <w:tc>
          <w:tcPr>
            <w:tcW w:w="5843" w:type="dxa"/>
            <w:tcBorders>
              <w:top w:val="single" w:sz="4" w:space="0" w:color="auto"/>
              <w:left w:val="single" w:sz="4" w:space="0" w:color="auto"/>
              <w:bottom w:val="single" w:sz="4" w:space="0" w:color="auto"/>
              <w:right w:val="single" w:sz="4" w:space="0" w:color="auto"/>
            </w:tcBorders>
          </w:tcPr>
          <w:p w14:paraId="3B378B3D"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5CE56E3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8C1842D"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2F89088"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74CD979B"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4" w:type="dxa"/>
            <w:tcBorders>
              <w:top w:val="single" w:sz="4" w:space="0" w:color="auto"/>
              <w:left w:val="single" w:sz="4" w:space="0" w:color="auto"/>
              <w:bottom w:val="single" w:sz="4" w:space="0" w:color="auto"/>
              <w:right w:val="single" w:sz="4" w:space="0" w:color="auto"/>
            </w:tcBorders>
          </w:tcPr>
          <w:p w14:paraId="0E3E0C39"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1303-86-2</w:t>
            </w:r>
          </w:p>
          <w:p w14:paraId="7D67A45F"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C19BD29"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27A900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42F551D6"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lastRenderedPageBreak/>
              <w:t>2451-62-9</w:t>
            </w:r>
          </w:p>
        </w:tc>
      </w:tr>
      <w:tr w:rsidR="00ED30D9" w14:paraId="74B08A42" w14:textId="77777777" w:rsidTr="006F53B6">
        <w:trPr>
          <w:trHeight w:val="290"/>
        </w:trPr>
        <w:tc>
          <w:tcPr>
            <w:tcW w:w="1525" w:type="dxa"/>
            <w:tcBorders>
              <w:top w:val="single" w:sz="4" w:space="0" w:color="auto"/>
              <w:left w:val="single" w:sz="4" w:space="0" w:color="auto"/>
              <w:bottom w:val="single" w:sz="4" w:space="0" w:color="auto"/>
              <w:right w:val="single" w:sz="4" w:space="0" w:color="auto"/>
            </w:tcBorders>
            <w:noWrap/>
            <w:hideMark/>
          </w:tcPr>
          <w:p w14:paraId="435E6233"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lastRenderedPageBreak/>
              <w:t>v7 CARDIOLAB</w:t>
            </w:r>
          </w:p>
        </w:tc>
        <w:tc>
          <w:tcPr>
            <w:tcW w:w="5843" w:type="dxa"/>
            <w:tcBorders>
              <w:top w:val="single" w:sz="4" w:space="0" w:color="auto"/>
              <w:left w:val="single" w:sz="4" w:space="0" w:color="auto"/>
              <w:bottom w:val="single" w:sz="4" w:space="0" w:color="auto"/>
              <w:right w:val="single" w:sz="4" w:space="0" w:color="auto"/>
            </w:tcBorders>
          </w:tcPr>
          <w:p w14:paraId="16EA0A9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2BA4B79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6924F8CB"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4A698020"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4C65398B"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4" w:type="dxa"/>
            <w:tcBorders>
              <w:top w:val="single" w:sz="4" w:space="0" w:color="auto"/>
              <w:left w:val="single" w:sz="4" w:space="0" w:color="auto"/>
              <w:bottom w:val="single" w:sz="4" w:space="0" w:color="auto"/>
              <w:right w:val="single" w:sz="4" w:space="0" w:color="auto"/>
            </w:tcBorders>
          </w:tcPr>
          <w:p w14:paraId="625D753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3667AD02"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264E544"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33BC3CBE"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57731319"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02C9AF35" w14:textId="77777777" w:rsidTr="006F53B6">
        <w:trPr>
          <w:trHeight w:val="290"/>
        </w:trPr>
        <w:tc>
          <w:tcPr>
            <w:tcW w:w="1525" w:type="dxa"/>
            <w:tcBorders>
              <w:top w:val="single" w:sz="4" w:space="0" w:color="auto"/>
              <w:left w:val="single" w:sz="4" w:space="0" w:color="auto"/>
              <w:bottom w:val="single" w:sz="4" w:space="0" w:color="auto"/>
              <w:right w:val="single" w:sz="4" w:space="0" w:color="auto"/>
            </w:tcBorders>
            <w:noWrap/>
            <w:hideMark/>
          </w:tcPr>
          <w:p w14:paraId="33B5008F"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v7 MAC-LAB</w:t>
            </w:r>
          </w:p>
        </w:tc>
        <w:tc>
          <w:tcPr>
            <w:tcW w:w="5843" w:type="dxa"/>
            <w:tcBorders>
              <w:top w:val="single" w:sz="4" w:space="0" w:color="auto"/>
              <w:left w:val="single" w:sz="4" w:space="0" w:color="auto"/>
              <w:bottom w:val="single" w:sz="4" w:space="0" w:color="auto"/>
              <w:right w:val="single" w:sz="4" w:space="0" w:color="auto"/>
            </w:tcBorders>
          </w:tcPr>
          <w:p w14:paraId="41E34E1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8375731"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0E18CB4B"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83BC39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7CADB9B"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4" w:type="dxa"/>
            <w:tcBorders>
              <w:top w:val="single" w:sz="4" w:space="0" w:color="auto"/>
              <w:left w:val="single" w:sz="4" w:space="0" w:color="auto"/>
              <w:bottom w:val="single" w:sz="4" w:space="0" w:color="auto"/>
              <w:right w:val="single" w:sz="4" w:space="0" w:color="auto"/>
            </w:tcBorders>
          </w:tcPr>
          <w:p w14:paraId="1C57B728"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6C1A37F2"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44E12484"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C42C17C"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78056A3D"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rsidRPr="001F3911" w14:paraId="286FFE80" w14:textId="77777777" w:rsidTr="006F53B6">
        <w:trPr>
          <w:trHeight w:val="290"/>
        </w:trPr>
        <w:tc>
          <w:tcPr>
            <w:tcW w:w="1525" w:type="dxa"/>
            <w:tcBorders>
              <w:top w:val="single" w:sz="4" w:space="0" w:color="auto"/>
              <w:left w:val="single" w:sz="4" w:space="0" w:color="auto"/>
              <w:bottom w:val="single" w:sz="4" w:space="0" w:color="auto"/>
              <w:right w:val="single" w:sz="4" w:space="0" w:color="auto"/>
            </w:tcBorders>
            <w:noWrap/>
          </w:tcPr>
          <w:p w14:paraId="0E534046" w14:textId="77777777" w:rsidR="00ED30D9" w:rsidRDefault="00ED30D9" w:rsidP="003E41E7">
            <w:pPr>
              <w:spacing w:after="0" w:line="240" w:lineRule="auto"/>
              <w:rPr>
                <w:rFonts w:asciiTheme="majorHAnsi" w:hAnsiTheme="majorHAnsi" w:cstheme="majorHAnsi"/>
                <w:i/>
                <w:color w:val="000000"/>
              </w:rPr>
            </w:pPr>
            <w:r w:rsidRPr="00F441EA">
              <w:rPr>
                <w:rFonts w:asciiTheme="majorHAnsi" w:hAnsiTheme="majorHAnsi" w:cstheme="majorHAnsi"/>
                <w:i/>
                <w:color w:val="000000"/>
              </w:rPr>
              <w:t>Upgrade Kit MLCL v7.1</w:t>
            </w:r>
          </w:p>
        </w:tc>
        <w:tc>
          <w:tcPr>
            <w:tcW w:w="5843" w:type="dxa"/>
            <w:tcBorders>
              <w:top w:val="single" w:sz="4" w:space="0" w:color="auto"/>
              <w:left w:val="single" w:sz="4" w:space="0" w:color="auto"/>
              <w:bottom w:val="single" w:sz="4" w:space="0" w:color="auto"/>
              <w:right w:val="single" w:sz="4" w:space="0" w:color="auto"/>
            </w:tcBorders>
          </w:tcPr>
          <w:p w14:paraId="2AD583DE"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Boron oxide (B2O3)</w:t>
            </w:r>
          </w:p>
          <w:p w14:paraId="5C309C3C"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w:t>
            </w:r>
          </w:p>
          <w:p w14:paraId="4FE699AA"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Lead oxide (</w:t>
            </w:r>
            <w:proofErr w:type="spellStart"/>
            <w:r>
              <w:rPr>
                <w:rFonts w:ascii="Calibri Light" w:hAnsi="Calibri Light" w:cs="Calibri Light"/>
                <w:bCs/>
                <w:i/>
                <w:color w:val="000000"/>
                <w:sz w:val="20"/>
                <w:szCs w:val="20"/>
              </w:rPr>
              <w:t>PbO</w:t>
            </w:r>
            <w:proofErr w:type="spellEnd"/>
            <w:r>
              <w:rPr>
                <w:rFonts w:ascii="Calibri Light" w:hAnsi="Calibri Light" w:cs="Calibri Light"/>
                <w:bCs/>
                <w:i/>
                <w:color w:val="000000"/>
                <w:sz w:val="20"/>
                <w:szCs w:val="20"/>
              </w:rPr>
              <w:t>)</w:t>
            </w:r>
          </w:p>
          <w:p w14:paraId="5CA1EFDD"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Silicic acid, lead salt</w:t>
            </w:r>
          </w:p>
          <w:p w14:paraId="4B7BDAB5" w14:textId="77777777" w:rsidR="00ED30D9" w:rsidRPr="001F3911"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1,3,5-Triazine-2,4,6(1H,3H,5H)-</w:t>
            </w:r>
            <w:proofErr w:type="spellStart"/>
            <w:r>
              <w:rPr>
                <w:rFonts w:ascii="Calibri Light" w:hAnsi="Calibri Light" w:cs="Calibri Light"/>
                <w:bCs/>
                <w:i/>
                <w:color w:val="000000"/>
                <w:sz w:val="20"/>
                <w:szCs w:val="20"/>
              </w:rPr>
              <w:t>trione</w:t>
            </w:r>
            <w:proofErr w:type="spellEnd"/>
            <w:r>
              <w:rPr>
                <w:rFonts w:ascii="Calibri Light" w:hAnsi="Calibri Light" w:cs="Calibri Light"/>
                <w:bCs/>
                <w:i/>
                <w:color w:val="000000"/>
                <w:sz w:val="20"/>
                <w:szCs w:val="20"/>
              </w:rPr>
              <w:t>, 1,3,5-tris(2-oxiranylmethyl)-</w:t>
            </w:r>
          </w:p>
        </w:tc>
        <w:tc>
          <w:tcPr>
            <w:tcW w:w="1694" w:type="dxa"/>
            <w:tcBorders>
              <w:top w:val="single" w:sz="4" w:space="0" w:color="auto"/>
              <w:left w:val="single" w:sz="4" w:space="0" w:color="auto"/>
              <w:bottom w:val="single" w:sz="4" w:space="0" w:color="auto"/>
              <w:right w:val="single" w:sz="4" w:space="0" w:color="auto"/>
            </w:tcBorders>
          </w:tcPr>
          <w:p w14:paraId="69824165"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1303-86-2</w:t>
            </w:r>
          </w:p>
          <w:p w14:paraId="4513B242"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7439-92-1</w:t>
            </w:r>
          </w:p>
          <w:p w14:paraId="1FAA5D67"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1317-36-8</w:t>
            </w:r>
          </w:p>
          <w:p w14:paraId="65CE0092"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11120-22-2</w:t>
            </w:r>
          </w:p>
          <w:p w14:paraId="2AF8DE2C" w14:textId="77777777" w:rsidR="00ED30D9" w:rsidRPr="001F3911"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2451-62-9</w:t>
            </w:r>
          </w:p>
        </w:tc>
      </w:tr>
      <w:tr w:rsidR="00ED30D9" w14:paraId="23E33980" w14:textId="77777777" w:rsidTr="003E41E7">
        <w:trPr>
          <w:trHeight w:val="290"/>
        </w:trPr>
        <w:tc>
          <w:tcPr>
            <w:tcW w:w="9062" w:type="dxa"/>
            <w:gridSpan w:val="3"/>
            <w:tcBorders>
              <w:top w:val="single" w:sz="4" w:space="0" w:color="auto"/>
              <w:left w:val="single" w:sz="4" w:space="0" w:color="auto"/>
              <w:bottom w:val="single" w:sz="4" w:space="0" w:color="auto"/>
              <w:right w:val="single" w:sz="4" w:space="0" w:color="auto"/>
            </w:tcBorders>
            <w:noWrap/>
          </w:tcPr>
          <w:p w14:paraId="6B833709" w14:textId="77777777" w:rsidR="00ED30D9" w:rsidRDefault="00ED30D9" w:rsidP="003E41E7">
            <w:pPr>
              <w:spacing w:after="0" w:line="240" w:lineRule="auto"/>
              <w:rPr>
                <w:rFonts w:ascii="Calibri Light" w:hAnsi="Calibri Light" w:cs="Calibri Light"/>
                <w:bCs/>
                <w:i/>
                <w:color w:val="000000"/>
                <w:sz w:val="20"/>
                <w:szCs w:val="20"/>
              </w:rPr>
            </w:pPr>
            <w:r>
              <w:rPr>
                <w:rFonts w:ascii="Calibri Light" w:hAnsi="Calibri Light" w:cs="Calibri Light"/>
                <w:bCs/>
                <w:i/>
                <w:color w:val="000000"/>
                <w:sz w:val="20"/>
                <w:szCs w:val="20"/>
              </w:rPr>
              <w:t>MLCL v6.9.6 R3</w:t>
            </w:r>
          </w:p>
        </w:tc>
      </w:tr>
      <w:tr w:rsidR="00ED30D9" w14:paraId="60AE96D7" w14:textId="77777777" w:rsidTr="006F53B6">
        <w:trPr>
          <w:trHeight w:val="290"/>
        </w:trPr>
        <w:tc>
          <w:tcPr>
            <w:tcW w:w="1525" w:type="dxa"/>
            <w:tcBorders>
              <w:top w:val="single" w:sz="4" w:space="0" w:color="auto"/>
              <w:left w:val="single" w:sz="4" w:space="0" w:color="auto"/>
              <w:bottom w:val="single" w:sz="4" w:space="0" w:color="auto"/>
              <w:right w:val="single" w:sz="4" w:space="0" w:color="auto"/>
            </w:tcBorders>
            <w:noWrap/>
            <w:hideMark/>
          </w:tcPr>
          <w:p w14:paraId="5F21A642"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COMBOLAB</w:t>
            </w:r>
          </w:p>
        </w:tc>
        <w:tc>
          <w:tcPr>
            <w:tcW w:w="5843" w:type="dxa"/>
            <w:tcBorders>
              <w:top w:val="single" w:sz="4" w:space="0" w:color="auto"/>
              <w:left w:val="single" w:sz="4" w:space="0" w:color="auto"/>
              <w:bottom w:val="single" w:sz="4" w:space="0" w:color="auto"/>
              <w:right w:val="single" w:sz="4" w:space="0" w:color="auto"/>
            </w:tcBorders>
          </w:tcPr>
          <w:p w14:paraId="28F42C1D"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A4D0ADC"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8A667D9"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62EAC613"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63BDA35D"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7D31062A"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4" w:type="dxa"/>
            <w:tcBorders>
              <w:top w:val="single" w:sz="4" w:space="0" w:color="auto"/>
              <w:left w:val="single" w:sz="4" w:space="0" w:color="auto"/>
              <w:bottom w:val="single" w:sz="4" w:space="0" w:color="auto"/>
              <w:right w:val="single" w:sz="4" w:space="0" w:color="auto"/>
            </w:tcBorders>
          </w:tcPr>
          <w:p w14:paraId="5CC6823A"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467EC668"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088E6DBC"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5B1472A1"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3A7E6035"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1D3DA34E"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3307BF68" w14:textId="77777777" w:rsidTr="006F53B6">
        <w:trPr>
          <w:trHeight w:val="290"/>
        </w:trPr>
        <w:tc>
          <w:tcPr>
            <w:tcW w:w="1525" w:type="dxa"/>
            <w:tcBorders>
              <w:top w:val="single" w:sz="4" w:space="0" w:color="auto"/>
              <w:left w:val="single" w:sz="4" w:space="0" w:color="auto"/>
              <w:bottom w:val="single" w:sz="4" w:space="0" w:color="auto"/>
              <w:right w:val="single" w:sz="4" w:space="0" w:color="auto"/>
            </w:tcBorders>
            <w:noWrap/>
            <w:hideMark/>
          </w:tcPr>
          <w:p w14:paraId="24DD9617"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CARDIOLAB</w:t>
            </w:r>
          </w:p>
        </w:tc>
        <w:tc>
          <w:tcPr>
            <w:tcW w:w="5843" w:type="dxa"/>
            <w:tcBorders>
              <w:top w:val="single" w:sz="4" w:space="0" w:color="auto"/>
              <w:left w:val="single" w:sz="4" w:space="0" w:color="auto"/>
              <w:bottom w:val="single" w:sz="4" w:space="0" w:color="auto"/>
              <w:right w:val="single" w:sz="4" w:space="0" w:color="auto"/>
            </w:tcBorders>
          </w:tcPr>
          <w:p w14:paraId="63D3BDFB"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4D2C26EA"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1DDCBF4"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4E62D87"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2D6D5E60"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57CA438B"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4" w:type="dxa"/>
            <w:tcBorders>
              <w:top w:val="single" w:sz="4" w:space="0" w:color="auto"/>
              <w:left w:val="single" w:sz="4" w:space="0" w:color="auto"/>
              <w:bottom w:val="single" w:sz="4" w:space="0" w:color="auto"/>
              <w:right w:val="single" w:sz="4" w:space="0" w:color="auto"/>
            </w:tcBorders>
          </w:tcPr>
          <w:p w14:paraId="058E0DF5"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35BA170B"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3F12CCD3"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4F488D99"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D6D0358"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4A261BDD"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r w:rsidR="00ED30D9" w14:paraId="383AF7AD" w14:textId="77777777" w:rsidTr="006F53B6">
        <w:trPr>
          <w:trHeight w:val="290"/>
        </w:trPr>
        <w:tc>
          <w:tcPr>
            <w:tcW w:w="1525" w:type="dxa"/>
            <w:tcBorders>
              <w:top w:val="single" w:sz="4" w:space="0" w:color="auto"/>
              <w:left w:val="single" w:sz="4" w:space="0" w:color="auto"/>
              <w:bottom w:val="single" w:sz="4" w:space="0" w:color="auto"/>
              <w:right w:val="single" w:sz="4" w:space="0" w:color="auto"/>
            </w:tcBorders>
            <w:noWrap/>
            <w:hideMark/>
          </w:tcPr>
          <w:p w14:paraId="4B46D59E" w14:textId="77777777" w:rsidR="00ED30D9" w:rsidRPr="00140A1F" w:rsidRDefault="00ED30D9" w:rsidP="003E41E7">
            <w:pPr>
              <w:spacing w:after="0" w:line="240" w:lineRule="auto"/>
              <w:rPr>
                <w:rFonts w:asciiTheme="majorHAnsi" w:hAnsiTheme="majorHAnsi" w:cstheme="majorHAnsi"/>
                <w:i/>
                <w:color w:val="000000"/>
              </w:rPr>
            </w:pPr>
            <w:r>
              <w:rPr>
                <w:rFonts w:asciiTheme="majorHAnsi" w:hAnsiTheme="majorHAnsi" w:cstheme="majorHAnsi"/>
                <w:i/>
                <w:color w:val="000000"/>
              </w:rPr>
              <w:t>v6.9.6 R3 MAC-LAB</w:t>
            </w:r>
          </w:p>
        </w:tc>
        <w:tc>
          <w:tcPr>
            <w:tcW w:w="5843" w:type="dxa"/>
            <w:tcBorders>
              <w:top w:val="single" w:sz="4" w:space="0" w:color="auto"/>
              <w:left w:val="single" w:sz="4" w:space="0" w:color="auto"/>
              <w:bottom w:val="single" w:sz="4" w:space="0" w:color="auto"/>
              <w:right w:val="single" w:sz="4" w:space="0" w:color="auto"/>
            </w:tcBorders>
          </w:tcPr>
          <w:p w14:paraId="777DEA42"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Boron oxide (B2O3)</w:t>
            </w:r>
          </w:p>
          <w:p w14:paraId="3490DA57"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w:t>
            </w:r>
          </w:p>
          <w:p w14:paraId="341518E4"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Lead oxide (</w:t>
            </w:r>
            <w:proofErr w:type="spellStart"/>
            <w:r w:rsidRPr="001F3911">
              <w:rPr>
                <w:rFonts w:ascii="Calibri Light" w:hAnsi="Calibri Light" w:cs="Calibri Light"/>
                <w:bCs/>
                <w:i/>
                <w:color w:val="000000"/>
                <w:sz w:val="20"/>
                <w:szCs w:val="20"/>
              </w:rPr>
              <w:t>PbO</w:t>
            </w:r>
            <w:proofErr w:type="spellEnd"/>
            <w:r w:rsidRPr="001F3911">
              <w:rPr>
                <w:rFonts w:ascii="Calibri Light" w:hAnsi="Calibri Light" w:cs="Calibri Light"/>
                <w:bCs/>
                <w:i/>
                <w:color w:val="000000"/>
                <w:sz w:val="20"/>
                <w:szCs w:val="20"/>
              </w:rPr>
              <w:t>)</w:t>
            </w:r>
          </w:p>
          <w:p w14:paraId="2868C224"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Silicic acid, lead salt</w:t>
            </w:r>
          </w:p>
          <w:p w14:paraId="55EC945A"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Lead oxide (Pb3O4)</w:t>
            </w:r>
          </w:p>
          <w:p w14:paraId="70042027"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1,3,5-Triazine-2,4,6(1H,3H,5H)-</w:t>
            </w:r>
            <w:proofErr w:type="spellStart"/>
            <w:r w:rsidRPr="001F3911">
              <w:rPr>
                <w:rFonts w:ascii="Calibri Light" w:hAnsi="Calibri Light" w:cs="Calibri Light"/>
                <w:bCs/>
                <w:i/>
                <w:color w:val="000000"/>
                <w:sz w:val="20"/>
                <w:szCs w:val="20"/>
              </w:rPr>
              <w:t>trione</w:t>
            </w:r>
            <w:proofErr w:type="spellEnd"/>
            <w:r w:rsidRPr="001F3911">
              <w:rPr>
                <w:rFonts w:ascii="Calibri Light" w:hAnsi="Calibri Light" w:cs="Calibri Light"/>
                <w:bCs/>
                <w:i/>
                <w:color w:val="000000"/>
                <w:sz w:val="20"/>
                <w:szCs w:val="20"/>
              </w:rPr>
              <w:t>, 1,3,5-tris(2-oxiranylmethyl)-</w:t>
            </w:r>
          </w:p>
        </w:tc>
        <w:tc>
          <w:tcPr>
            <w:tcW w:w="1694" w:type="dxa"/>
            <w:tcBorders>
              <w:top w:val="single" w:sz="4" w:space="0" w:color="auto"/>
              <w:left w:val="single" w:sz="4" w:space="0" w:color="auto"/>
              <w:bottom w:val="single" w:sz="4" w:space="0" w:color="auto"/>
              <w:right w:val="single" w:sz="4" w:space="0" w:color="auto"/>
            </w:tcBorders>
          </w:tcPr>
          <w:p w14:paraId="695261BD"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1303-86-2</w:t>
            </w:r>
          </w:p>
          <w:p w14:paraId="187C8D51"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7439-92-1</w:t>
            </w:r>
          </w:p>
          <w:p w14:paraId="7D46275A" w14:textId="77777777" w:rsidR="00ED30D9" w:rsidRPr="001F3911"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1317-36-8</w:t>
            </w:r>
          </w:p>
          <w:p w14:paraId="07609A1D"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11120-22-2</w:t>
            </w:r>
          </w:p>
          <w:p w14:paraId="20050C1A" w14:textId="77777777" w:rsidR="00ED30D9" w:rsidRPr="001F3911" w:rsidRDefault="00ED30D9" w:rsidP="003E41E7">
            <w:pPr>
              <w:spacing w:after="0" w:line="240" w:lineRule="auto"/>
              <w:rPr>
                <w:rFonts w:ascii="Calibri Light" w:hAnsi="Calibri Light" w:cs="Calibri Light"/>
                <w:bCs/>
                <w:i/>
                <w:color w:val="000000"/>
                <w:sz w:val="20"/>
                <w:szCs w:val="20"/>
              </w:rPr>
            </w:pPr>
            <w:r w:rsidRPr="00876D42">
              <w:rPr>
                <w:rFonts w:ascii="Calibri Light" w:hAnsi="Calibri Light" w:cs="Calibri Light"/>
                <w:bCs/>
                <w:i/>
                <w:color w:val="000000"/>
                <w:sz w:val="20"/>
                <w:szCs w:val="20"/>
              </w:rPr>
              <w:t>1314-41-6</w:t>
            </w:r>
          </w:p>
          <w:p w14:paraId="7CADF272" w14:textId="77777777" w:rsidR="00ED30D9" w:rsidRDefault="00ED30D9" w:rsidP="003E41E7">
            <w:pPr>
              <w:spacing w:after="0" w:line="240" w:lineRule="auto"/>
              <w:rPr>
                <w:rFonts w:ascii="Calibri Light" w:hAnsi="Calibri Light" w:cs="Calibri Light"/>
                <w:bCs/>
                <w:i/>
                <w:color w:val="000000"/>
                <w:sz w:val="20"/>
                <w:szCs w:val="20"/>
              </w:rPr>
            </w:pPr>
            <w:r w:rsidRPr="001F3911">
              <w:rPr>
                <w:rFonts w:ascii="Calibri Light" w:hAnsi="Calibri Light" w:cs="Calibri Light"/>
                <w:bCs/>
                <w:i/>
                <w:color w:val="000000"/>
                <w:sz w:val="20"/>
                <w:szCs w:val="20"/>
              </w:rPr>
              <w:t>2451-62-9</w:t>
            </w:r>
          </w:p>
        </w:tc>
      </w:tr>
    </w:tbl>
    <w:p w14:paraId="33410575" w14:textId="77777777" w:rsidR="00241A44" w:rsidRDefault="00241A44" w:rsidP="00241A44">
      <w:pPr>
        <w:rPr>
          <w:rFonts w:asciiTheme="majorHAnsi" w:hAnsiTheme="majorHAnsi" w:cstheme="majorHAnsi"/>
        </w:rPr>
      </w:pPr>
    </w:p>
    <w:p w14:paraId="0EED2DE1" w14:textId="77777777" w:rsidR="001D2DAA" w:rsidRDefault="001D2DAA" w:rsidP="001D2DAA">
      <w:pPr>
        <w:rPr>
          <w:rFonts w:asciiTheme="majorHAnsi" w:hAnsiTheme="majorHAnsi" w:cstheme="majorHAnsi"/>
        </w:rPr>
      </w:pPr>
    </w:p>
    <w:p w14:paraId="3C05DA2B" w14:textId="77777777" w:rsidR="001D2DAA" w:rsidRDefault="001D2DAA" w:rsidP="001D2DAA">
      <w:pPr>
        <w:rPr>
          <w:rFonts w:asciiTheme="majorHAnsi" w:hAnsiTheme="majorHAnsi" w:cstheme="majorHAnsi"/>
        </w:rPr>
      </w:pPr>
    </w:p>
    <w:sectPr w:rsidR="001D2DAA" w:rsidSect="00B938B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9D66" w14:textId="77777777" w:rsidR="00C15633" w:rsidRDefault="00C15633" w:rsidP="008D24F6">
      <w:pPr>
        <w:spacing w:after="0" w:line="240" w:lineRule="auto"/>
      </w:pPr>
      <w:r>
        <w:separator/>
      </w:r>
    </w:p>
  </w:endnote>
  <w:endnote w:type="continuationSeparator" w:id="0">
    <w:p w14:paraId="3697C4E9" w14:textId="77777777" w:rsidR="00C15633" w:rsidRDefault="00C15633" w:rsidP="008D2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 Inspira Sans">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8128" w14:textId="5881230A" w:rsidR="005A2C7D" w:rsidRPr="008D24F6" w:rsidRDefault="00040E18">
    <w:pPr>
      <w:pStyle w:val="Footer"/>
      <w:rPr>
        <w:rFonts w:asciiTheme="majorHAnsi" w:hAnsiTheme="majorHAnsi" w:cstheme="majorHAnsi"/>
      </w:rPr>
    </w:pPr>
    <w:r w:rsidRPr="00040E18">
      <w:rPr>
        <w:rFonts w:asciiTheme="majorHAnsi" w:hAnsiTheme="majorHAnsi" w:cstheme="majorHAnsi"/>
      </w:rPr>
      <w:t>DOC2667603</w:t>
    </w:r>
    <w:r w:rsidR="005A2C7D" w:rsidRPr="008D24F6">
      <w:rPr>
        <w:rFonts w:asciiTheme="majorHAnsi" w:hAnsiTheme="majorHAnsi" w:cstheme="majorHAnsi"/>
      </w:rPr>
      <w:ptab w:relativeTo="margin" w:alignment="center" w:leader="none"/>
    </w:r>
    <w:r w:rsidR="005A2C7D" w:rsidRPr="008D24F6">
      <w:rPr>
        <w:rFonts w:asciiTheme="majorHAnsi" w:hAnsiTheme="majorHAnsi" w:cstheme="majorHAnsi"/>
      </w:rPr>
      <w:ptab w:relativeTo="margin" w:alignment="right" w:leader="none"/>
    </w:r>
    <w:r w:rsidR="005A2C7D" w:rsidRPr="00591F08">
      <w:rPr>
        <w:rFonts w:asciiTheme="majorHAnsi" w:hAnsiTheme="majorHAnsi" w:cstheme="majorHAnsi"/>
      </w:rPr>
      <w:t xml:space="preserve">Page </w:t>
    </w:r>
    <w:r w:rsidR="005A2C7D" w:rsidRPr="00591F08">
      <w:rPr>
        <w:rFonts w:asciiTheme="majorHAnsi" w:hAnsiTheme="majorHAnsi" w:cstheme="majorHAnsi"/>
        <w:b/>
        <w:bCs/>
      </w:rPr>
      <w:fldChar w:fldCharType="begin"/>
    </w:r>
    <w:r w:rsidR="005A2C7D" w:rsidRPr="00591F08">
      <w:rPr>
        <w:rFonts w:asciiTheme="majorHAnsi" w:hAnsiTheme="majorHAnsi" w:cstheme="majorHAnsi"/>
        <w:b/>
        <w:bCs/>
      </w:rPr>
      <w:instrText xml:space="preserve"> PAGE  \* Arabic  \* MERGEFORMAT </w:instrText>
    </w:r>
    <w:r w:rsidR="005A2C7D" w:rsidRPr="00591F08">
      <w:rPr>
        <w:rFonts w:asciiTheme="majorHAnsi" w:hAnsiTheme="majorHAnsi" w:cstheme="majorHAnsi"/>
        <w:b/>
        <w:bCs/>
      </w:rPr>
      <w:fldChar w:fldCharType="separate"/>
    </w:r>
    <w:r w:rsidR="005A2C7D" w:rsidRPr="00591F08">
      <w:rPr>
        <w:rFonts w:asciiTheme="majorHAnsi" w:hAnsiTheme="majorHAnsi" w:cstheme="majorHAnsi"/>
        <w:b/>
        <w:bCs/>
        <w:noProof/>
      </w:rPr>
      <w:t>1</w:t>
    </w:r>
    <w:r w:rsidR="005A2C7D" w:rsidRPr="00591F08">
      <w:rPr>
        <w:rFonts w:asciiTheme="majorHAnsi" w:hAnsiTheme="majorHAnsi" w:cstheme="majorHAnsi"/>
        <w:b/>
        <w:bCs/>
      </w:rPr>
      <w:fldChar w:fldCharType="end"/>
    </w:r>
    <w:r w:rsidR="005A2C7D" w:rsidRPr="00591F08">
      <w:rPr>
        <w:rFonts w:asciiTheme="majorHAnsi" w:hAnsiTheme="majorHAnsi" w:cstheme="majorHAnsi"/>
      </w:rPr>
      <w:t xml:space="preserve"> of </w:t>
    </w:r>
    <w:r w:rsidR="005A2C7D" w:rsidRPr="00591F08">
      <w:rPr>
        <w:rFonts w:asciiTheme="majorHAnsi" w:hAnsiTheme="majorHAnsi" w:cstheme="majorHAnsi"/>
        <w:b/>
        <w:bCs/>
      </w:rPr>
      <w:fldChar w:fldCharType="begin"/>
    </w:r>
    <w:r w:rsidR="005A2C7D" w:rsidRPr="00591F08">
      <w:rPr>
        <w:rFonts w:asciiTheme="majorHAnsi" w:hAnsiTheme="majorHAnsi" w:cstheme="majorHAnsi"/>
        <w:b/>
        <w:bCs/>
      </w:rPr>
      <w:instrText xml:space="preserve"> NUMPAGES  \* Arabic  \* MERGEFORMAT </w:instrText>
    </w:r>
    <w:r w:rsidR="005A2C7D" w:rsidRPr="00591F08">
      <w:rPr>
        <w:rFonts w:asciiTheme="majorHAnsi" w:hAnsiTheme="majorHAnsi" w:cstheme="majorHAnsi"/>
        <w:b/>
        <w:bCs/>
      </w:rPr>
      <w:fldChar w:fldCharType="separate"/>
    </w:r>
    <w:r w:rsidR="005A2C7D" w:rsidRPr="00591F08">
      <w:rPr>
        <w:rFonts w:asciiTheme="majorHAnsi" w:hAnsiTheme="majorHAnsi" w:cstheme="majorHAnsi"/>
        <w:b/>
        <w:bCs/>
        <w:noProof/>
      </w:rPr>
      <w:t>2</w:t>
    </w:r>
    <w:r w:rsidR="005A2C7D" w:rsidRPr="00591F08">
      <w:rPr>
        <w:rFonts w:asciiTheme="majorHAnsi" w:hAnsiTheme="majorHAnsi" w:cstheme="majorHAnsi"/>
        <w:b/>
        <w:bCs/>
      </w:rPr>
      <w:fldChar w:fldCharType="end"/>
    </w:r>
    <w:r w:rsidR="005A2C7D">
      <w:rPr>
        <w:rFonts w:asciiTheme="majorHAnsi" w:hAnsiTheme="majorHAnsi" w:cstheme="maj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224A0" w14:textId="77777777" w:rsidR="00C15633" w:rsidRDefault="00C15633" w:rsidP="008D24F6">
      <w:pPr>
        <w:spacing w:after="0" w:line="240" w:lineRule="auto"/>
      </w:pPr>
      <w:r>
        <w:separator/>
      </w:r>
    </w:p>
  </w:footnote>
  <w:footnote w:type="continuationSeparator" w:id="0">
    <w:p w14:paraId="3A6A3DC3" w14:textId="77777777" w:rsidR="00C15633" w:rsidRDefault="00C15633" w:rsidP="008D2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88DF" w14:textId="77777777" w:rsidR="005A2C7D" w:rsidRDefault="005A2C7D">
    <w:pPr>
      <w:pStyle w:val="Header"/>
    </w:pPr>
  </w:p>
  <w:p w14:paraId="7398B2FE" w14:textId="77777777" w:rsidR="005A2C7D" w:rsidRDefault="005A2C7D">
    <w:pPr>
      <w:pStyle w:val="Header"/>
    </w:pPr>
  </w:p>
  <w:p w14:paraId="4417AE43" w14:textId="77777777" w:rsidR="005A2C7D" w:rsidRDefault="005A2C7D">
    <w:pPr>
      <w:pStyle w:val="Header"/>
    </w:pPr>
    <w:r w:rsidRPr="00977090">
      <w:rPr>
        <w:rFonts w:asciiTheme="majorHAnsi" w:hAnsiTheme="majorHAnsi" w:cstheme="majorHAnsi"/>
        <w:noProof/>
      </w:rPr>
      <w:drawing>
        <wp:anchor distT="0" distB="0" distL="114300" distR="114300" simplePos="0" relativeHeight="251657216" behindDoc="0" locked="0" layoutInCell="1" allowOverlap="1" wp14:anchorId="3E730519" wp14:editId="5D9769D8">
          <wp:simplePos x="0" y="0"/>
          <wp:positionH relativeFrom="margin">
            <wp:posOffset>0</wp:posOffset>
          </wp:positionH>
          <wp:positionV relativeFrom="paragraph">
            <wp:posOffset>-635</wp:posOffset>
          </wp:positionV>
          <wp:extent cx="533692" cy="5346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1828"/>
                  <a:stretch/>
                </pic:blipFill>
                <pic:spPr bwMode="auto">
                  <a:xfrm>
                    <a:off x="0" y="0"/>
                    <a:ext cx="543532" cy="5444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852112" w14:textId="77777777" w:rsidR="005A2C7D" w:rsidRPr="00977090" w:rsidRDefault="005A2C7D" w:rsidP="003004C2">
    <w:pPr>
      <w:pStyle w:val="Default"/>
      <w:tabs>
        <w:tab w:val="left" w:pos="6804"/>
      </w:tabs>
      <w:rPr>
        <w:rFonts w:asciiTheme="majorHAnsi" w:hAnsiTheme="majorHAnsi" w:cstheme="majorHAnsi"/>
        <w:color w:val="404040" w:themeColor="text1" w:themeTint="BF"/>
      </w:rPr>
    </w:pPr>
    <w:r w:rsidRPr="00977090">
      <w:rPr>
        <w:rFonts w:asciiTheme="majorHAnsi" w:hAnsiTheme="majorHAnsi" w:cstheme="majorHAnsi"/>
        <w:sz w:val="23"/>
        <w:szCs w:val="23"/>
      </w:rPr>
      <w:tab/>
    </w:r>
    <w:r w:rsidRPr="00DD471A">
      <w:rPr>
        <w:rFonts w:asciiTheme="majorHAnsi" w:hAnsiTheme="majorHAnsi" w:cstheme="majorHAnsi"/>
        <w:color w:val="000000" w:themeColor="text1"/>
        <w:sz w:val="23"/>
        <w:szCs w:val="23"/>
      </w:rPr>
      <w:t>GE Healthcare</w:t>
    </w:r>
  </w:p>
  <w:p w14:paraId="1D529C7D" w14:textId="77777777" w:rsidR="005A2C7D" w:rsidRDefault="005A2C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F8"/>
    <w:rsid w:val="00040E18"/>
    <w:rsid w:val="00051745"/>
    <w:rsid w:val="00053F34"/>
    <w:rsid w:val="000A25A0"/>
    <w:rsid w:val="000B14AC"/>
    <w:rsid w:val="000F0850"/>
    <w:rsid w:val="0012011A"/>
    <w:rsid w:val="001261DB"/>
    <w:rsid w:val="00140A1F"/>
    <w:rsid w:val="00170FB5"/>
    <w:rsid w:val="0017355A"/>
    <w:rsid w:val="001C2FAB"/>
    <w:rsid w:val="001D2DAA"/>
    <w:rsid w:val="001F3911"/>
    <w:rsid w:val="0022578F"/>
    <w:rsid w:val="002303F3"/>
    <w:rsid w:val="00233880"/>
    <w:rsid w:val="00241A44"/>
    <w:rsid w:val="00256674"/>
    <w:rsid w:val="00290BC0"/>
    <w:rsid w:val="00297126"/>
    <w:rsid w:val="002F01CB"/>
    <w:rsid w:val="002F3076"/>
    <w:rsid w:val="003004C2"/>
    <w:rsid w:val="00324446"/>
    <w:rsid w:val="00335686"/>
    <w:rsid w:val="00371356"/>
    <w:rsid w:val="003B3A38"/>
    <w:rsid w:val="003C1AC7"/>
    <w:rsid w:val="003C2C97"/>
    <w:rsid w:val="003D46AA"/>
    <w:rsid w:val="004006E3"/>
    <w:rsid w:val="00427C09"/>
    <w:rsid w:val="00431885"/>
    <w:rsid w:val="004465F2"/>
    <w:rsid w:val="00482DF7"/>
    <w:rsid w:val="004E3410"/>
    <w:rsid w:val="004E36EE"/>
    <w:rsid w:val="004F3447"/>
    <w:rsid w:val="0051388F"/>
    <w:rsid w:val="0051545A"/>
    <w:rsid w:val="005173FA"/>
    <w:rsid w:val="00522F34"/>
    <w:rsid w:val="0052322E"/>
    <w:rsid w:val="00526B99"/>
    <w:rsid w:val="005354B2"/>
    <w:rsid w:val="00542276"/>
    <w:rsid w:val="00557516"/>
    <w:rsid w:val="005745D5"/>
    <w:rsid w:val="00591F08"/>
    <w:rsid w:val="00595434"/>
    <w:rsid w:val="005A2C7D"/>
    <w:rsid w:val="005A56DC"/>
    <w:rsid w:val="005A7B56"/>
    <w:rsid w:val="005C49AA"/>
    <w:rsid w:val="005F0E6A"/>
    <w:rsid w:val="0061506D"/>
    <w:rsid w:val="0063148A"/>
    <w:rsid w:val="006358D8"/>
    <w:rsid w:val="00636C30"/>
    <w:rsid w:val="0064523E"/>
    <w:rsid w:val="00661953"/>
    <w:rsid w:val="006706BE"/>
    <w:rsid w:val="00681667"/>
    <w:rsid w:val="006B5C89"/>
    <w:rsid w:val="006D34E9"/>
    <w:rsid w:val="006E3ACC"/>
    <w:rsid w:val="006E7E5E"/>
    <w:rsid w:val="006F53B6"/>
    <w:rsid w:val="0070054A"/>
    <w:rsid w:val="00700603"/>
    <w:rsid w:val="00700D02"/>
    <w:rsid w:val="00744575"/>
    <w:rsid w:val="00750121"/>
    <w:rsid w:val="00750DD6"/>
    <w:rsid w:val="00755227"/>
    <w:rsid w:val="00767F64"/>
    <w:rsid w:val="007801C3"/>
    <w:rsid w:val="007927F8"/>
    <w:rsid w:val="007E72F9"/>
    <w:rsid w:val="00801B85"/>
    <w:rsid w:val="008206AD"/>
    <w:rsid w:val="008465D5"/>
    <w:rsid w:val="0085789B"/>
    <w:rsid w:val="00865A8D"/>
    <w:rsid w:val="00867862"/>
    <w:rsid w:val="00876D42"/>
    <w:rsid w:val="00895C0B"/>
    <w:rsid w:val="008A1F86"/>
    <w:rsid w:val="008A2111"/>
    <w:rsid w:val="008A27FD"/>
    <w:rsid w:val="008A71CA"/>
    <w:rsid w:val="008B3D9C"/>
    <w:rsid w:val="008B4FB5"/>
    <w:rsid w:val="008D24F6"/>
    <w:rsid w:val="008E3910"/>
    <w:rsid w:val="008F5C79"/>
    <w:rsid w:val="0090282A"/>
    <w:rsid w:val="00924DEF"/>
    <w:rsid w:val="009344EB"/>
    <w:rsid w:val="00934FB0"/>
    <w:rsid w:val="00956AFE"/>
    <w:rsid w:val="00957FE0"/>
    <w:rsid w:val="009603B5"/>
    <w:rsid w:val="0097315F"/>
    <w:rsid w:val="009739CA"/>
    <w:rsid w:val="00977090"/>
    <w:rsid w:val="00986408"/>
    <w:rsid w:val="009870E6"/>
    <w:rsid w:val="00996A45"/>
    <w:rsid w:val="00996C5D"/>
    <w:rsid w:val="009A2601"/>
    <w:rsid w:val="009B4CB2"/>
    <w:rsid w:val="009E1A57"/>
    <w:rsid w:val="009E5A66"/>
    <w:rsid w:val="00A215E5"/>
    <w:rsid w:val="00A3659D"/>
    <w:rsid w:val="00A57E21"/>
    <w:rsid w:val="00A72A62"/>
    <w:rsid w:val="00A751C7"/>
    <w:rsid w:val="00A93467"/>
    <w:rsid w:val="00A95F55"/>
    <w:rsid w:val="00AA54BB"/>
    <w:rsid w:val="00AE60F6"/>
    <w:rsid w:val="00B00809"/>
    <w:rsid w:val="00B02FF7"/>
    <w:rsid w:val="00B17DDD"/>
    <w:rsid w:val="00B21300"/>
    <w:rsid w:val="00B52F24"/>
    <w:rsid w:val="00B938B3"/>
    <w:rsid w:val="00B93A55"/>
    <w:rsid w:val="00BA0EB3"/>
    <w:rsid w:val="00BC64B0"/>
    <w:rsid w:val="00BE6831"/>
    <w:rsid w:val="00C15633"/>
    <w:rsid w:val="00C9604D"/>
    <w:rsid w:val="00D57E28"/>
    <w:rsid w:val="00D617C0"/>
    <w:rsid w:val="00D716F3"/>
    <w:rsid w:val="00D775E4"/>
    <w:rsid w:val="00D852EE"/>
    <w:rsid w:val="00DA53F5"/>
    <w:rsid w:val="00DD471A"/>
    <w:rsid w:val="00DE06BF"/>
    <w:rsid w:val="00DF35DE"/>
    <w:rsid w:val="00E46E6F"/>
    <w:rsid w:val="00E76F10"/>
    <w:rsid w:val="00E910AF"/>
    <w:rsid w:val="00EA183D"/>
    <w:rsid w:val="00ED1E16"/>
    <w:rsid w:val="00ED30D9"/>
    <w:rsid w:val="00F16810"/>
    <w:rsid w:val="00F20EF7"/>
    <w:rsid w:val="00F34E59"/>
    <w:rsid w:val="00F6429C"/>
    <w:rsid w:val="00F83D11"/>
    <w:rsid w:val="00F8699D"/>
    <w:rsid w:val="00F86C6C"/>
    <w:rsid w:val="00FA505F"/>
    <w:rsid w:val="00FA5F8A"/>
    <w:rsid w:val="00FB0865"/>
    <w:rsid w:val="00FB5EA9"/>
    <w:rsid w:val="00FE42E3"/>
  </w:rsids>
  <m:mathPr>
    <m:mathFont m:val="Cambria Math"/>
    <m:brkBin m:val="before"/>
    <m:brkBinSub m:val="--"/>
    <m:smallFrac m:val="0"/>
    <m:dispDef/>
    <m:lMargin m:val="0"/>
    <m:rMargin m:val="0"/>
    <m:defJc m:val="centerGroup"/>
    <m:wrapIndent m:val="1440"/>
    <m:intLim m:val="subSup"/>
    <m:naryLim m:val="undOvr"/>
  </m:mathPr>
  <w:themeFontLang w:val="fr-F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F763C"/>
  <w15:chartTrackingRefBased/>
  <w15:docId w15:val="{8BAE28BC-BBA6-423F-8F41-0CC9C468D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A44"/>
  </w:style>
  <w:style w:type="paragraph" w:styleId="Heading1">
    <w:name w:val="heading 1"/>
    <w:basedOn w:val="Normal"/>
    <w:next w:val="Normal"/>
    <w:link w:val="Heading1Char"/>
    <w:uiPriority w:val="9"/>
    <w:qFormat/>
    <w:rsid w:val="00D775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27F8"/>
    <w:pPr>
      <w:autoSpaceDE w:val="0"/>
      <w:autoSpaceDN w:val="0"/>
      <w:adjustRightInd w:val="0"/>
      <w:spacing w:after="0" w:line="240" w:lineRule="auto"/>
    </w:pPr>
    <w:rPr>
      <w:rFonts w:ascii="GE Inspira Sans" w:hAnsi="GE Inspira Sans" w:cs="GE Inspira Sans"/>
      <w:color w:val="000000"/>
      <w:sz w:val="24"/>
      <w:szCs w:val="24"/>
    </w:rPr>
  </w:style>
  <w:style w:type="character" w:styleId="CommentReference">
    <w:name w:val="annotation reference"/>
    <w:basedOn w:val="DefaultParagraphFont"/>
    <w:uiPriority w:val="99"/>
    <w:semiHidden/>
    <w:unhideWhenUsed/>
    <w:rsid w:val="008D24F6"/>
    <w:rPr>
      <w:sz w:val="16"/>
      <w:szCs w:val="16"/>
    </w:rPr>
  </w:style>
  <w:style w:type="paragraph" w:styleId="CommentText">
    <w:name w:val="annotation text"/>
    <w:basedOn w:val="Normal"/>
    <w:link w:val="CommentTextChar"/>
    <w:uiPriority w:val="99"/>
    <w:semiHidden/>
    <w:unhideWhenUsed/>
    <w:rsid w:val="008D24F6"/>
    <w:pPr>
      <w:spacing w:line="240" w:lineRule="auto"/>
    </w:pPr>
    <w:rPr>
      <w:sz w:val="20"/>
      <w:szCs w:val="20"/>
    </w:rPr>
  </w:style>
  <w:style w:type="character" w:customStyle="1" w:styleId="CommentTextChar">
    <w:name w:val="Comment Text Char"/>
    <w:basedOn w:val="DefaultParagraphFont"/>
    <w:link w:val="CommentText"/>
    <w:uiPriority w:val="99"/>
    <w:semiHidden/>
    <w:rsid w:val="008D24F6"/>
    <w:rPr>
      <w:sz w:val="20"/>
      <w:szCs w:val="20"/>
    </w:rPr>
  </w:style>
  <w:style w:type="paragraph" w:styleId="CommentSubject">
    <w:name w:val="annotation subject"/>
    <w:basedOn w:val="CommentText"/>
    <w:next w:val="CommentText"/>
    <w:link w:val="CommentSubjectChar"/>
    <w:uiPriority w:val="99"/>
    <w:semiHidden/>
    <w:unhideWhenUsed/>
    <w:rsid w:val="008D24F6"/>
    <w:rPr>
      <w:b/>
      <w:bCs/>
    </w:rPr>
  </w:style>
  <w:style w:type="character" w:customStyle="1" w:styleId="CommentSubjectChar">
    <w:name w:val="Comment Subject Char"/>
    <w:basedOn w:val="CommentTextChar"/>
    <w:link w:val="CommentSubject"/>
    <w:uiPriority w:val="99"/>
    <w:semiHidden/>
    <w:rsid w:val="008D24F6"/>
    <w:rPr>
      <w:b/>
      <w:bCs/>
      <w:sz w:val="20"/>
      <w:szCs w:val="20"/>
    </w:rPr>
  </w:style>
  <w:style w:type="paragraph" w:styleId="BalloonText">
    <w:name w:val="Balloon Text"/>
    <w:basedOn w:val="Normal"/>
    <w:link w:val="BalloonTextChar"/>
    <w:uiPriority w:val="99"/>
    <w:semiHidden/>
    <w:unhideWhenUsed/>
    <w:rsid w:val="008D2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4F6"/>
    <w:rPr>
      <w:rFonts w:ascii="Segoe UI" w:hAnsi="Segoe UI" w:cs="Segoe UI"/>
      <w:sz w:val="18"/>
      <w:szCs w:val="18"/>
    </w:rPr>
  </w:style>
  <w:style w:type="paragraph" w:styleId="Header">
    <w:name w:val="header"/>
    <w:basedOn w:val="Normal"/>
    <w:link w:val="HeaderChar"/>
    <w:uiPriority w:val="99"/>
    <w:unhideWhenUsed/>
    <w:rsid w:val="008D24F6"/>
    <w:pPr>
      <w:tabs>
        <w:tab w:val="center" w:pos="4703"/>
        <w:tab w:val="right" w:pos="9406"/>
      </w:tabs>
      <w:spacing w:after="0" w:line="240" w:lineRule="auto"/>
    </w:pPr>
  </w:style>
  <w:style w:type="character" w:customStyle="1" w:styleId="HeaderChar">
    <w:name w:val="Header Char"/>
    <w:basedOn w:val="DefaultParagraphFont"/>
    <w:link w:val="Header"/>
    <w:uiPriority w:val="99"/>
    <w:rsid w:val="008D24F6"/>
  </w:style>
  <w:style w:type="paragraph" w:styleId="Footer">
    <w:name w:val="footer"/>
    <w:basedOn w:val="Normal"/>
    <w:link w:val="FooterChar"/>
    <w:uiPriority w:val="99"/>
    <w:unhideWhenUsed/>
    <w:rsid w:val="008D24F6"/>
    <w:pPr>
      <w:tabs>
        <w:tab w:val="center" w:pos="4703"/>
        <w:tab w:val="right" w:pos="9406"/>
      </w:tabs>
      <w:spacing w:after="0" w:line="240" w:lineRule="auto"/>
    </w:pPr>
  </w:style>
  <w:style w:type="character" w:customStyle="1" w:styleId="FooterChar">
    <w:name w:val="Footer Char"/>
    <w:basedOn w:val="DefaultParagraphFont"/>
    <w:link w:val="Footer"/>
    <w:uiPriority w:val="99"/>
    <w:rsid w:val="008D24F6"/>
  </w:style>
  <w:style w:type="character" w:customStyle="1" w:styleId="Heading1Char">
    <w:name w:val="Heading 1 Char"/>
    <w:basedOn w:val="DefaultParagraphFont"/>
    <w:link w:val="Heading1"/>
    <w:uiPriority w:val="9"/>
    <w:rsid w:val="00D775E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57E21"/>
    <w:pPr>
      <w:outlineLvl w:val="9"/>
    </w:pPr>
  </w:style>
  <w:style w:type="paragraph" w:styleId="TOC2">
    <w:name w:val="toc 2"/>
    <w:basedOn w:val="Normal"/>
    <w:next w:val="Normal"/>
    <w:autoRedefine/>
    <w:uiPriority w:val="39"/>
    <w:unhideWhenUsed/>
    <w:rsid w:val="00A57E21"/>
    <w:pPr>
      <w:spacing w:after="100"/>
      <w:ind w:left="220"/>
    </w:pPr>
    <w:rPr>
      <w:rFonts w:eastAsiaTheme="minorEastAsia" w:hAnsiTheme="minorHAnsi"/>
    </w:rPr>
  </w:style>
  <w:style w:type="paragraph" w:styleId="TOC1">
    <w:name w:val="toc 1"/>
    <w:basedOn w:val="Normal"/>
    <w:next w:val="Normal"/>
    <w:autoRedefine/>
    <w:uiPriority w:val="39"/>
    <w:unhideWhenUsed/>
    <w:rsid w:val="00A57E21"/>
    <w:pPr>
      <w:spacing w:after="100"/>
    </w:pPr>
    <w:rPr>
      <w:rFonts w:eastAsiaTheme="minorEastAsia" w:hAnsiTheme="minorHAnsi"/>
    </w:rPr>
  </w:style>
  <w:style w:type="paragraph" w:styleId="TOC3">
    <w:name w:val="toc 3"/>
    <w:basedOn w:val="Normal"/>
    <w:next w:val="Normal"/>
    <w:autoRedefine/>
    <w:uiPriority w:val="39"/>
    <w:unhideWhenUsed/>
    <w:rsid w:val="00A57E21"/>
    <w:pPr>
      <w:spacing w:after="100"/>
      <w:ind w:left="440"/>
    </w:pPr>
    <w:rPr>
      <w:rFonts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8117">
      <w:bodyDiv w:val="1"/>
      <w:marLeft w:val="0"/>
      <w:marRight w:val="0"/>
      <w:marTop w:val="0"/>
      <w:marBottom w:val="0"/>
      <w:divBdr>
        <w:top w:val="none" w:sz="0" w:space="0" w:color="auto"/>
        <w:left w:val="none" w:sz="0" w:space="0" w:color="auto"/>
        <w:bottom w:val="none" w:sz="0" w:space="0" w:color="auto"/>
        <w:right w:val="none" w:sz="0" w:space="0" w:color="auto"/>
      </w:divBdr>
    </w:div>
    <w:div w:id="323242289">
      <w:bodyDiv w:val="1"/>
      <w:marLeft w:val="0"/>
      <w:marRight w:val="0"/>
      <w:marTop w:val="0"/>
      <w:marBottom w:val="0"/>
      <w:divBdr>
        <w:top w:val="none" w:sz="0" w:space="0" w:color="auto"/>
        <w:left w:val="none" w:sz="0" w:space="0" w:color="auto"/>
        <w:bottom w:val="none" w:sz="0" w:space="0" w:color="auto"/>
        <w:right w:val="none" w:sz="0" w:space="0" w:color="auto"/>
      </w:divBdr>
    </w:div>
    <w:div w:id="374474051">
      <w:bodyDiv w:val="1"/>
      <w:marLeft w:val="0"/>
      <w:marRight w:val="0"/>
      <w:marTop w:val="0"/>
      <w:marBottom w:val="0"/>
      <w:divBdr>
        <w:top w:val="none" w:sz="0" w:space="0" w:color="auto"/>
        <w:left w:val="none" w:sz="0" w:space="0" w:color="auto"/>
        <w:bottom w:val="none" w:sz="0" w:space="0" w:color="auto"/>
        <w:right w:val="none" w:sz="0" w:space="0" w:color="auto"/>
      </w:divBdr>
    </w:div>
    <w:div w:id="537937104">
      <w:bodyDiv w:val="1"/>
      <w:marLeft w:val="0"/>
      <w:marRight w:val="0"/>
      <w:marTop w:val="0"/>
      <w:marBottom w:val="0"/>
      <w:divBdr>
        <w:top w:val="none" w:sz="0" w:space="0" w:color="auto"/>
        <w:left w:val="none" w:sz="0" w:space="0" w:color="auto"/>
        <w:bottom w:val="none" w:sz="0" w:space="0" w:color="auto"/>
        <w:right w:val="none" w:sz="0" w:space="0" w:color="auto"/>
      </w:divBdr>
    </w:div>
    <w:div w:id="538975616">
      <w:bodyDiv w:val="1"/>
      <w:marLeft w:val="0"/>
      <w:marRight w:val="0"/>
      <w:marTop w:val="0"/>
      <w:marBottom w:val="0"/>
      <w:divBdr>
        <w:top w:val="none" w:sz="0" w:space="0" w:color="auto"/>
        <w:left w:val="none" w:sz="0" w:space="0" w:color="auto"/>
        <w:bottom w:val="none" w:sz="0" w:space="0" w:color="auto"/>
        <w:right w:val="none" w:sz="0" w:space="0" w:color="auto"/>
      </w:divBdr>
    </w:div>
    <w:div w:id="601301448">
      <w:bodyDiv w:val="1"/>
      <w:marLeft w:val="0"/>
      <w:marRight w:val="0"/>
      <w:marTop w:val="0"/>
      <w:marBottom w:val="0"/>
      <w:divBdr>
        <w:top w:val="none" w:sz="0" w:space="0" w:color="auto"/>
        <w:left w:val="none" w:sz="0" w:space="0" w:color="auto"/>
        <w:bottom w:val="none" w:sz="0" w:space="0" w:color="auto"/>
        <w:right w:val="none" w:sz="0" w:space="0" w:color="auto"/>
      </w:divBdr>
    </w:div>
    <w:div w:id="670567614">
      <w:bodyDiv w:val="1"/>
      <w:marLeft w:val="0"/>
      <w:marRight w:val="0"/>
      <w:marTop w:val="0"/>
      <w:marBottom w:val="0"/>
      <w:divBdr>
        <w:top w:val="none" w:sz="0" w:space="0" w:color="auto"/>
        <w:left w:val="none" w:sz="0" w:space="0" w:color="auto"/>
        <w:bottom w:val="none" w:sz="0" w:space="0" w:color="auto"/>
        <w:right w:val="none" w:sz="0" w:space="0" w:color="auto"/>
      </w:divBdr>
    </w:div>
    <w:div w:id="711031010">
      <w:bodyDiv w:val="1"/>
      <w:marLeft w:val="0"/>
      <w:marRight w:val="0"/>
      <w:marTop w:val="0"/>
      <w:marBottom w:val="0"/>
      <w:divBdr>
        <w:top w:val="none" w:sz="0" w:space="0" w:color="auto"/>
        <w:left w:val="none" w:sz="0" w:space="0" w:color="auto"/>
        <w:bottom w:val="none" w:sz="0" w:space="0" w:color="auto"/>
        <w:right w:val="none" w:sz="0" w:space="0" w:color="auto"/>
      </w:divBdr>
    </w:div>
    <w:div w:id="712467698">
      <w:bodyDiv w:val="1"/>
      <w:marLeft w:val="0"/>
      <w:marRight w:val="0"/>
      <w:marTop w:val="0"/>
      <w:marBottom w:val="0"/>
      <w:divBdr>
        <w:top w:val="none" w:sz="0" w:space="0" w:color="auto"/>
        <w:left w:val="none" w:sz="0" w:space="0" w:color="auto"/>
        <w:bottom w:val="none" w:sz="0" w:space="0" w:color="auto"/>
        <w:right w:val="none" w:sz="0" w:space="0" w:color="auto"/>
      </w:divBdr>
    </w:div>
    <w:div w:id="826016066">
      <w:bodyDiv w:val="1"/>
      <w:marLeft w:val="0"/>
      <w:marRight w:val="0"/>
      <w:marTop w:val="0"/>
      <w:marBottom w:val="0"/>
      <w:divBdr>
        <w:top w:val="none" w:sz="0" w:space="0" w:color="auto"/>
        <w:left w:val="none" w:sz="0" w:space="0" w:color="auto"/>
        <w:bottom w:val="none" w:sz="0" w:space="0" w:color="auto"/>
        <w:right w:val="none" w:sz="0" w:space="0" w:color="auto"/>
      </w:divBdr>
    </w:div>
    <w:div w:id="868226410">
      <w:bodyDiv w:val="1"/>
      <w:marLeft w:val="0"/>
      <w:marRight w:val="0"/>
      <w:marTop w:val="0"/>
      <w:marBottom w:val="0"/>
      <w:divBdr>
        <w:top w:val="none" w:sz="0" w:space="0" w:color="auto"/>
        <w:left w:val="none" w:sz="0" w:space="0" w:color="auto"/>
        <w:bottom w:val="none" w:sz="0" w:space="0" w:color="auto"/>
        <w:right w:val="none" w:sz="0" w:space="0" w:color="auto"/>
      </w:divBdr>
    </w:div>
    <w:div w:id="976879974">
      <w:bodyDiv w:val="1"/>
      <w:marLeft w:val="0"/>
      <w:marRight w:val="0"/>
      <w:marTop w:val="0"/>
      <w:marBottom w:val="0"/>
      <w:divBdr>
        <w:top w:val="none" w:sz="0" w:space="0" w:color="auto"/>
        <w:left w:val="none" w:sz="0" w:space="0" w:color="auto"/>
        <w:bottom w:val="none" w:sz="0" w:space="0" w:color="auto"/>
        <w:right w:val="none" w:sz="0" w:space="0" w:color="auto"/>
      </w:divBdr>
    </w:div>
    <w:div w:id="1046904289">
      <w:bodyDiv w:val="1"/>
      <w:marLeft w:val="0"/>
      <w:marRight w:val="0"/>
      <w:marTop w:val="0"/>
      <w:marBottom w:val="0"/>
      <w:divBdr>
        <w:top w:val="none" w:sz="0" w:space="0" w:color="auto"/>
        <w:left w:val="none" w:sz="0" w:space="0" w:color="auto"/>
        <w:bottom w:val="none" w:sz="0" w:space="0" w:color="auto"/>
        <w:right w:val="none" w:sz="0" w:space="0" w:color="auto"/>
      </w:divBdr>
    </w:div>
    <w:div w:id="1113020124">
      <w:bodyDiv w:val="1"/>
      <w:marLeft w:val="0"/>
      <w:marRight w:val="0"/>
      <w:marTop w:val="0"/>
      <w:marBottom w:val="0"/>
      <w:divBdr>
        <w:top w:val="none" w:sz="0" w:space="0" w:color="auto"/>
        <w:left w:val="none" w:sz="0" w:space="0" w:color="auto"/>
        <w:bottom w:val="none" w:sz="0" w:space="0" w:color="auto"/>
        <w:right w:val="none" w:sz="0" w:space="0" w:color="auto"/>
      </w:divBdr>
    </w:div>
    <w:div w:id="1201939721">
      <w:bodyDiv w:val="1"/>
      <w:marLeft w:val="0"/>
      <w:marRight w:val="0"/>
      <w:marTop w:val="0"/>
      <w:marBottom w:val="0"/>
      <w:divBdr>
        <w:top w:val="none" w:sz="0" w:space="0" w:color="auto"/>
        <w:left w:val="none" w:sz="0" w:space="0" w:color="auto"/>
        <w:bottom w:val="none" w:sz="0" w:space="0" w:color="auto"/>
        <w:right w:val="none" w:sz="0" w:space="0" w:color="auto"/>
      </w:divBdr>
    </w:div>
    <w:div w:id="1266814727">
      <w:bodyDiv w:val="1"/>
      <w:marLeft w:val="0"/>
      <w:marRight w:val="0"/>
      <w:marTop w:val="0"/>
      <w:marBottom w:val="0"/>
      <w:divBdr>
        <w:top w:val="none" w:sz="0" w:space="0" w:color="auto"/>
        <w:left w:val="none" w:sz="0" w:space="0" w:color="auto"/>
        <w:bottom w:val="none" w:sz="0" w:space="0" w:color="auto"/>
        <w:right w:val="none" w:sz="0" w:space="0" w:color="auto"/>
      </w:divBdr>
    </w:div>
    <w:div w:id="1323856672">
      <w:bodyDiv w:val="1"/>
      <w:marLeft w:val="0"/>
      <w:marRight w:val="0"/>
      <w:marTop w:val="0"/>
      <w:marBottom w:val="0"/>
      <w:divBdr>
        <w:top w:val="none" w:sz="0" w:space="0" w:color="auto"/>
        <w:left w:val="none" w:sz="0" w:space="0" w:color="auto"/>
        <w:bottom w:val="none" w:sz="0" w:space="0" w:color="auto"/>
        <w:right w:val="none" w:sz="0" w:space="0" w:color="auto"/>
      </w:divBdr>
    </w:div>
    <w:div w:id="1420827323">
      <w:bodyDiv w:val="1"/>
      <w:marLeft w:val="0"/>
      <w:marRight w:val="0"/>
      <w:marTop w:val="0"/>
      <w:marBottom w:val="0"/>
      <w:divBdr>
        <w:top w:val="none" w:sz="0" w:space="0" w:color="auto"/>
        <w:left w:val="none" w:sz="0" w:space="0" w:color="auto"/>
        <w:bottom w:val="none" w:sz="0" w:space="0" w:color="auto"/>
        <w:right w:val="none" w:sz="0" w:space="0" w:color="auto"/>
      </w:divBdr>
    </w:div>
    <w:div w:id="1435592343">
      <w:bodyDiv w:val="1"/>
      <w:marLeft w:val="0"/>
      <w:marRight w:val="0"/>
      <w:marTop w:val="0"/>
      <w:marBottom w:val="0"/>
      <w:divBdr>
        <w:top w:val="none" w:sz="0" w:space="0" w:color="auto"/>
        <w:left w:val="none" w:sz="0" w:space="0" w:color="auto"/>
        <w:bottom w:val="none" w:sz="0" w:space="0" w:color="auto"/>
        <w:right w:val="none" w:sz="0" w:space="0" w:color="auto"/>
      </w:divBdr>
    </w:div>
    <w:div w:id="1523978125">
      <w:bodyDiv w:val="1"/>
      <w:marLeft w:val="0"/>
      <w:marRight w:val="0"/>
      <w:marTop w:val="0"/>
      <w:marBottom w:val="0"/>
      <w:divBdr>
        <w:top w:val="none" w:sz="0" w:space="0" w:color="auto"/>
        <w:left w:val="none" w:sz="0" w:space="0" w:color="auto"/>
        <w:bottom w:val="none" w:sz="0" w:space="0" w:color="auto"/>
        <w:right w:val="none" w:sz="0" w:space="0" w:color="auto"/>
      </w:divBdr>
    </w:div>
    <w:div w:id="1564294959">
      <w:bodyDiv w:val="1"/>
      <w:marLeft w:val="0"/>
      <w:marRight w:val="0"/>
      <w:marTop w:val="0"/>
      <w:marBottom w:val="0"/>
      <w:divBdr>
        <w:top w:val="none" w:sz="0" w:space="0" w:color="auto"/>
        <w:left w:val="none" w:sz="0" w:space="0" w:color="auto"/>
        <w:bottom w:val="none" w:sz="0" w:space="0" w:color="auto"/>
        <w:right w:val="none" w:sz="0" w:space="0" w:color="auto"/>
      </w:divBdr>
    </w:div>
    <w:div w:id="1638993705">
      <w:bodyDiv w:val="1"/>
      <w:marLeft w:val="0"/>
      <w:marRight w:val="0"/>
      <w:marTop w:val="0"/>
      <w:marBottom w:val="0"/>
      <w:divBdr>
        <w:top w:val="none" w:sz="0" w:space="0" w:color="auto"/>
        <w:left w:val="none" w:sz="0" w:space="0" w:color="auto"/>
        <w:bottom w:val="none" w:sz="0" w:space="0" w:color="auto"/>
        <w:right w:val="none" w:sz="0" w:space="0" w:color="auto"/>
      </w:divBdr>
    </w:div>
    <w:div w:id="1920212930">
      <w:bodyDiv w:val="1"/>
      <w:marLeft w:val="0"/>
      <w:marRight w:val="0"/>
      <w:marTop w:val="0"/>
      <w:marBottom w:val="0"/>
      <w:divBdr>
        <w:top w:val="none" w:sz="0" w:space="0" w:color="auto"/>
        <w:left w:val="none" w:sz="0" w:space="0" w:color="auto"/>
        <w:bottom w:val="none" w:sz="0" w:space="0" w:color="auto"/>
        <w:right w:val="none" w:sz="0" w:space="0" w:color="auto"/>
      </w:divBdr>
    </w:div>
    <w:div w:id="2049911463">
      <w:bodyDiv w:val="1"/>
      <w:marLeft w:val="0"/>
      <w:marRight w:val="0"/>
      <w:marTop w:val="0"/>
      <w:marBottom w:val="0"/>
      <w:divBdr>
        <w:top w:val="none" w:sz="0" w:space="0" w:color="auto"/>
        <w:left w:val="none" w:sz="0" w:space="0" w:color="auto"/>
        <w:bottom w:val="none" w:sz="0" w:space="0" w:color="auto"/>
        <w:right w:val="none" w:sz="0" w:space="0" w:color="auto"/>
      </w:divBdr>
    </w:div>
    <w:div w:id="209119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1DBA-5082-45B0-9B50-778FBDEA9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47</Pages>
  <Words>11668</Words>
  <Characters>66512</Characters>
  <Application>Microsoft Office Word</Application>
  <DocSecurity>4</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Kunduri, Surya Dutt (GE Healthcare)</dc:creator>
  <cp:keywords/>
  <dc:description/>
  <cp:lastModifiedBy>Jaddu, Siva Rama Krishna (GE HealthCare, consultant)</cp:lastModifiedBy>
  <cp:revision>2</cp:revision>
  <cp:lastPrinted>2021-06-01T13:22:00Z</cp:lastPrinted>
  <dcterms:created xsi:type="dcterms:W3CDTF">2023-02-23T11:31:00Z</dcterms:created>
  <dcterms:modified xsi:type="dcterms:W3CDTF">2023-02-23T11:31:00Z</dcterms:modified>
</cp:coreProperties>
</file>